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"/>
        <w:gridCol w:w="19"/>
        <w:gridCol w:w="1418"/>
        <w:gridCol w:w="926"/>
        <w:gridCol w:w="2553"/>
        <w:gridCol w:w="1031"/>
        <w:gridCol w:w="521"/>
        <w:gridCol w:w="717"/>
        <w:gridCol w:w="1911"/>
      </w:tblGrid>
      <w:tr w:rsidR="001E499E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2DFDA96" wp14:editId="10D1976B">
                  <wp:extent cx="1333500" cy="751205"/>
                  <wp:effectExtent l="0" t="0" r="0" b="0"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E499E" w:rsidRPr="00E339A0" w:rsidRDefault="001E499E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A21B10">
              <w:rPr>
                <w:sz w:val="20"/>
                <w:szCs w:val="20"/>
              </w:rPr>
              <w:t>2</w:t>
            </w:r>
            <w:r w:rsidRPr="00E339A0">
              <w:rPr>
                <w:sz w:val="20"/>
                <w:szCs w:val="20"/>
              </w:rPr>
              <w:t>-202</w:t>
            </w:r>
            <w:r w:rsidR="00A21B10">
              <w:rPr>
                <w:sz w:val="20"/>
                <w:szCs w:val="20"/>
              </w:rPr>
              <w:t>4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RANY PRZEWLEKŁE I PRZETOKI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E339A0">
              <w:rPr>
                <w:color w:val="auto"/>
                <w:sz w:val="20"/>
                <w:szCs w:val="20"/>
              </w:rPr>
              <w:t>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21" w:type="pct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1999" w:type="pct"/>
            <w:gridSpan w:val="4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□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2 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 5□     6□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E499E" w:rsidRPr="00424538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E499E" w:rsidRPr="00E339A0" w:rsidRDefault="001E499E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1E499E" w:rsidRPr="00E339A0" w:rsidRDefault="001E499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1E499E" w:rsidRPr="00E339A0" w:rsidRDefault="001E499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E499E" w:rsidRPr="00E339A0" w:rsidRDefault="001E499E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praktyki zawodowe X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20" w:type="pct"/>
            <w:gridSpan w:val="5"/>
          </w:tcPr>
          <w:p w:rsidR="001E499E" w:rsidRPr="00E339A0" w:rsidRDefault="000720EA" w:rsidP="00A148E3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06" w:type="pct"/>
            <w:gridSpan w:val="3"/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E499E" w:rsidRPr="00E339A0" w:rsidRDefault="001E499E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38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 związane z praktykami zawodowymi</w:t>
            </w:r>
            <w:r w:rsidRPr="00E339A0">
              <w:rPr>
                <w:color w:val="auto"/>
                <w:sz w:val="20"/>
                <w:szCs w:val="20"/>
              </w:rPr>
              <w:t xml:space="preserve">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62/100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1E499E" w:rsidRPr="00E339A0" w:rsidTr="000720EA">
        <w:trPr>
          <w:trHeight w:val="346"/>
        </w:trPr>
        <w:tc>
          <w:tcPr>
            <w:tcW w:w="1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E499E" w:rsidRPr="00E339A0" w:rsidRDefault="001E499E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1E499E" w:rsidRPr="00E339A0" w:rsidTr="000720EA">
        <w:trPr>
          <w:trHeight w:val="346"/>
        </w:trPr>
        <w:tc>
          <w:tcPr>
            <w:tcW w:w="1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zasad diagnostyki i leczenia chorego po urazie termicznym, ranami przewlekłymi oraz z przetoką jelitową.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lastRenderedPageBreak/>
              <w:t>Przygotowanie studenta do udzielania świadczeń zdrowotnych w zakresie opieki i edukacji terapeutycznej wobec pacjenta z ranami przewlekłymi i pacjenta z przetoką.</w:t>
            </w:r>
          </w:p>
        </w:tc>
      </w:tr>
      <w:tr w:rsidR="001E499E" w:rsidRPr="00E339A0" w:rsidTr="000720EA">
        <w:trPr>
          <w:trHeight w:val="346"/>
        </w:trPr>
        <w:tc>
          <w:tcPr>
            <w:tcW w:w="1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</w:tc>
        <w:tc>
          <w:tcPr>
            <w:tcW w:w="36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499E" w:rsidRPr="00E339A0" w:rsidRDefault="001E499E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1E499E" w:rsidRPr="00E339A0" w:rsidTr="00DB38ED">
        <w:trPr>
          <w:trHeight w:val="1585"/>
        </w:trPr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</w:p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5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99E" w:rsidRPr="00E339A0" w:rsidRDefault="001E499E" w:rsidP="001E499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wiedzę z zakresu anatomii i fizjologii organizmu człowieka oraz podstawowych badań fizykalnych.</w:t>
            </w:r>
          </w:p>
          <w:p w:rsidR="001E499E" w:rsidRPr="00E339A0" w:rsidRDefault="001E499E" w:rsidP="001E499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zna podstawy opieki pielęgniarskiej, psychologii, pedagogiki, promocji zdrowia i zdrowia publicznego zgodne z programem studiów na kierunku pielęgniarstwo I stopnia.</w:t>
            </w:r>
          </w:p>
          <w:p w:rsidR="001E499E" w:rsidRPr="00E339A0" w:rsidRDefault="001E499E" w:rsidP="001E499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wiedzę z zakresu farmakologii na poziomie studiów I stopnia.</w:t>
            </w:r>
          </w:p>
          <w:p w:rsidR="001E499E" w:rsidRPr="00E339A0" w:rsidRDefault="001E499E" w:rsidP="001E499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E499E" w:rsidRPr="00E339A0" w:rsidRDefault="001E499E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E499E" w:rsidRPr="00E339A0" w:rsidRDefault="001E499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B.W38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metody oceny ran przewlekłych i ich klasyfikację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B.W39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mawia nowoczesne metody terapii i rolę </w:t>
            </w:r>
            <w:proofErr w:type="spellStart"/>
            <w:r w:rsidRPr="00E339A0">
              <w:rPr>
                <w:sz w:val="20"/>
                <w:szCs w:val="20"/>
              </w:rPr>
              <w:t>hiperbarii</w:t>
            </w:r>
            <w:proofErr w:type="spellEnd"/>
            <w:r w:rsidRPr="00E339A0">
              <w:rPr>
                <w:sz w:val="20"/>
                <w:szCs w:val="20"/>
              </w:rPr>
              <w:t xml:space="preserve"> tlenowej oraz terapii podciśnieniowej w procesie leczenia najczęściej występujących ran przewlekłych, w szczególności owrzodzeń żylnych, owrzodzeń niedokrwiennych, odleżyn, </w:t>
            </w:r>
            <w:proofErr w:type="spellStart"/>
            <w:r w:rsidRPr="00E339A0">
              <w:rPr>
                <w:sz w:val="20"/>
                <w:szCs w:val="20"/>
              </w:rPr>
              <w:t>odmrożeń</w:t>
            </w:r>
            <w:proofErr w:type="spellEnd"/>
            <w:r w:rsidRPr="00E339A0">
              <w:rPr>
                <w:sz w:val="20"/>
                <w:szCs w:val="20"/>
              </w:rPr>
              <w:t>, zespołu stopy cukrzycowej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B.W40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doboru opatrunków w leczeniu ran przewlekłych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B.W41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przygotowania pacjenta i jego rodziny w zakresie profilaktyki występowania ran oraz ich powikłań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B.W42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oceny funkcjonowania przetoki jelitowej i moczowej oraz ich powikłań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B.W43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mawia zasady przygotowania pacjenta z przetoką jelitową i moczową oraz jego rodziny do samoobserwacji i samoopieki oraz zasady doboru sprzętu </w:t>
            </w:r>
            <w:proofErr w:type="spellStart"/>
            <w:r w:rsidRPr="00E339A0">
              <w:rPr>
                <w:sz w:val="20"/>
                <w:szCs w:val="20"/>
              </w:rPr>
              <w:t>stomijnego</w:t>
            </w:r>
            <w:proofErr w:type="spellEnd"/>
            <w:r w:rsidRPr="00E339A0">
              <w:rPr>
                <w:sz w:val="20"/>
                <w:szCs w:val="20"/>
              </w:rPr>
              <w:t xml:space="preserve"> i jego refundacji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</w:t>
            </w:r>
            <w:r>
              <w:rPr>
                <w:sz w:val="20"/>
                <w:szCs w:val="20"/>
              </w:rPr>
              <w:t>e pacjenta z chorobą przewlekłą.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 realizacja zleconego zadania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cenia adaptację pacjenta do choroby przewlekł</w:t>
            </w:r>
            <w:r>
              <w:rPr>
                <w:sz w:val="20"/>
                <w:szCs w:val="20"/>
              </w:rPr>
              <w:t>ej.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zadania,</w:t>
            </w:r>
            <w:r w:rsidRPr="00E339A0">
              <w:rPr>
                <w:i/>
                <w:iCs/>
                <w:sz w:val="18"/>
                <w:szCs w:val="18"/>
              </w:rPr>
              <w:t xml:space="preserve"> przedłużona obserwacja przez nauczyciela prowadzącego; ocena 360°</w:t>
            </w:r>
            <w:r w:rsidRPr="00E339A0">
              <w:rPr>
                <w:i/>
                <w:sz w:val="18"/>
                <w:szCs w:val="18"/>
              </w:rPr>
              <w:t>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 ramach poradnictwa zdrowotnego.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i/lub ustne, </w:t>
            </w:r>
            <w:r w:rsidRPr="00E339A0">
              <w:rPr>
                <w:i/>
                <w:sz w:val="18"/>
                <w:szCs w:val="18"/>
              </w:rPr>
              <w:t>realizacja zleconego zadania,</w:t>
            </w:r>
            <w:r w:rsidRPr="00E339A0">
              <w:rPr>
                <w:i/>
                <w:iCs/>
                <w:sz w:val="18"/>
                <w:szCs w:val="18"/>
              </w:rPr>
              <w:t xml:space="preserve"> przedłużona obserwacja przez nauczyciela prowadzącego; ocena 360°,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zadania,</w:t>
            </w:r>
            <w:r w:rsidRPr="00E339A0">
              <w:rPr>
                <w:i/>
                <w:iCs/>
                <w:sz w:val="18"/>
                <w:szCs w:val="18"/>
              </w:rPr>
              <w:t xml:space="preserve"> przedłużona obserwacja przez nauczyciela prowadzącego; ocena 360°, </w:t>
            </w:r>
            <w:r w:rsidRPr="00E339A0">
              <w:rPr>
                <w:i/>
                <w:sz w:val="18"/>
                <w:szCs w:val="18"/>
              </w:rPr>
              <w:t>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draża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 ocena 360°, realizacja zleconego zadania, </w:t>
            </w:r>
            <w:r w:rsidRPr="00E339A0">
              <w:rPr>
                <w:i/>
                <w:sz w:val="18"/>
                <w:szCs w:val="18"/>
              </w:rPr>
              <w:t>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B.U21.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lanuje i koordynuje proces udzielania świadczeń zdrowotnych, z uwzględnieniem kryterium jakości i efektywności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prowadzącego; ocena 360°, realizacja zleconego zadania, </w:t>
            </w:r>
            <w:r w:rsidRPr="00E339A0">
              <w:rPr>
                <w:i/>
                <w:sz w:val="18"/>
                <w:szCs w:val="18"/>
              </w:rPr>
              <w:t>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 chorobę oraz proces leczenia, a także udziela mu wsparcia motywacyjno-edu</w:t>
            </w:r>
            <w:r>
              <w:rPr>
                <w:sz w:val="20"/>
              </w:rPr>
              <w:t>kacyjnego.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prowadzącego; ocena 360°, </w:t>
            </w:r>
            <w:r w:rsidRPr="00E339A0">
              <w:rPr>
                <w:i/>
                <w:sz w:val="18"/>
                <w:szCs w:val="18"/>
              </w:rPr>
              <w:t>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B.U40.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</w:rPr>
              <w:t>O</w:t>
            </w:r>
            <w:r w:rsidRPr="00E339A0">
              <w:rPr>
                <w:bCs/>
                <w:sz w:val="20"/>
              </w:rPr>
              <w:t>ceni</w:t>
            </w:r>
            <w:r>
              <w:rPr>
                <w:bCs/>
                <w:sz w:val="20"/>
              </w:rPr>
              <w:t>a i klasyfikuje rany przewlekłe.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B.U41.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</w:rPr>
              <w:t>D</w:t>
            </w:r>
            <w:r w:rsidRPr="00E339A0">
              <w:rPr>
                <w:bCs/>
                <w:sz w:val="20"/>
              </w:rPr>
              <w:t>obiera opatrunki z uwzg</w:t>
            </w:r>
            <w:r>
              <w:rPr>
                <w:bCs/>
                <w:sz w:val="20"/>
              </w:rPr>
              <w:t>lędnieniem rodzaju i stanu rany.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B.U42.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</w:rPr>
              <w:t>P</w:t>
            </w:r>
            <w:r w:rsidRPr="00E339A0">
              <w:rPr>
                <w:bCs/>
                <w:sz w:val="20"/>
              </w:rPr>
              <w:t xml:space="preserve">rzygotowuje pacjenta i jego rodzinę do profilaktyki, </w:t>
            </w:r>
            <w:r>
              <w:rPr>
                <w:bCs/>
                <w:sz w:val="20"/>
              </w:rPr>
              <w:t>samokontroli i pielęgnacji rany.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prowadzącego; ocena 360°, </w:t>
            </w: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B.U43.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  <w:szCs w:val="20"/>
              </w:rPr>
              <w:t>S</w:t>
            </w:r>
            <w:r w:rsidRPr="00E339A0">
              <w:rPr>
                <w:bCs/>
                <w:sz w:val="20"/>
                <w:szCs w:val="20"/>
              </w:rPr>
              <w:t>tosuje nowoczesne techniki pielęgnacji</w:t>
            </w:r>
            <w:r>
              <w:rPr>
                <w:bCs/>
                <w:sz w:val="20"/>
                <w:szCs w:val="20"/>
              </w:rPr>
              <w:t xml:space="preserve"> przetok jelitowych i moczowych.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prowadzącego; ocena 360°, </w:t>
            </w:r>
            <w:r w:rsidRPr="00E339A0">
              <w:rPr>
                <w:i/>
                <w:sz w:val="18"/>
                <w:szCs w:val="18"/>
              </w:rPr>
              <w:t>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B.U44.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</w:rPr>
              <w:t>P</w:t>
            </w:r>
            <w:r w:rsidRPr="00E339A0">
              <w:rPr>
                <w:bCs/>
                <w:sz w:val="20"/>
              </w:rPr>
              <w:t xml:space="preserve">rzygotowuje pacjenta ze </w:t>
            </w:r>
            <w:proofErr w:type="spellStart"/>
            <w:r w:rsidRPr="00E339A0">
              <w:rPr>
                <w:bCs/>
                <w:sz w:val="20"/>
              </w:rPr>
              <w:t>stomią</w:t>
            </w:r>
            <w:proofErr w:type="spellEnd"/>
            <w:r w:rsidRPr="00E339A0">
              <w:rPr>
                <w:bCs/>
                <w:sz w:val="20"/>
              </w:rPr>
              <w:t xml:space="preserve"> do samoopieki oraz zapewnia doradzt</w:t>
            </w:r>
            <w:r>
              <w:rPr>
                <w:bCs/>
                <w:sz w:val="20"/>
              </w:rPr>
              <w:t xml:space="preserve">wo w doborze sprzętu </w:t>
            </w:r>
            <w:proofErr w:type="spellStart"/>
            <w:r>
              <w:rPr>
                <w:bCs/>
                <w:sz w:val="20"/>
              </w:rPr>
              <w:t>stomijnego</w:t>
            </w:r>
            <w:proofErr w:type="spellEnd"/>
            <w:r>
              <w:rPr>
                <w:bCs/>
                <w:sz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</w:t>
            </w:r>
            <w:r>
              <w:rPr>
                <w:sz w:val="20"/>
                <w:szCs w:val="20"/>
              </w:rPr>
              <w:t>alizowane świadczenia zdrowotne.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K6.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ykazuje profesjonalne podejście do strategii marketingowych przemysłu farmaceutycznego i reklamy jego produktów.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Ć/CS/PZ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 xml:space="preserve">W-wykład; S-seminarium; EL- e-learning; K -konwersatoria; Ć-ćwiczenia; CS -ćwiczenia symulacyjne; </w:t>
            </w:r>
            <w:r w:rsidRPr="00E339A0">
              <w:rPr>
                <w:bCs/>
                <w:sz w:val="20"/>
                <w:szCs w:val="20"/>
              </w:rPr>
              <w:br/>
              <w:t>ZP-zajęcia praktyczne; PZ-praktyki zawodowe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E499E" w:rsidRPr="00E339A0" w:rsidRDefault="001E499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E499E" w:rsidRPr="00E339A0" w:rsidRDefault="001E499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E499E" w:rsidRPr="00E339A0" w:rsidRDefault="001E499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E499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TABELA TREŚCI PROGRAMOWYCH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E499E" w:rsidRPr="00424538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 -e-learning,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Patofizjologia ran przewlekłych: owrzodzenia żylnego, owrzodzenia niedokrwiennego, mieszanego, zespołu stopy cukrzycowej, powikłanej rany urazowej, owrzodzenia nowotworowego.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B.W38; B.W39; B.W40; B.W41; B.W42. B.W43;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Różnicowa charakterystyka owrzodzeń (niedokrwienne, żylne, cukrzycowe, nowotworowe). Ocena rany: kliniczna, radiologiczna, biochemiczna, bakteriologiczna.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B.W38; 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Charakterystyka urazu termicznego. Kwalifikacja ran oparzeniowych. Wielospecjalistyczne leczenie ciężkiego oparzenia, ogólne i miejscowe.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B.W38; 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operacyjnego i nieoperacyjnego leczenia ran przewlekłych, w tym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hiperbaria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tlenowa i terapia podciśnieniem.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Chirurgia rekonstrukcyjno-plastyczna pourazowych ubytków tkankowych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Pielęgnowanie chorego porażonego prądem, oparzonego. Udział pielęgniarki w leczeniu ogólnym i miejscowym.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Proces gojenia się ran przewlekłych. Zakażenia ran przewlekłych, profilaktyka. Znaczenie badań mikrobiologicznych w leczeniu ran.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Współczesne koncepcje miejscowego leczenia ran. Kompetencje pielęgniarki w leczeniu ran, refundacja materiałów opatrunkowych, wypisywanie recept. Żywienie w profilaktyce i leczeniu ran.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B.W40; B.U41;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Patofizjologia, epidemiologia, przyczyny i czynniki ryzyka rozwoju odleżyn. Typy, klasyfikacja (stadia) odleżyn i ocena rany odleży nowej. Leczenie ogólne i miejscowe odleżyn. Profilaktyka odleżyn. 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B.W39; B.W40; B.U40; B.U41;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i edukacja terapeutyczna pacjenta z przewlekłymi ranami i jego rodziny i opiekuna.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B.W41; 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B.U21; B.U39; </w:t>
            </w:r>
            <w:r w:rsidRPr="00E339A0">
              <w:rPr>
                <w:color w:val="auto"/>
                <w:sz w:val="20"/>
                <w:szCs w:val="20"/>
              </w:rPr>
              <w:t xml:space="preserve">B.U40; B.U41;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B.U42; K1; K2; K3; K4; K5; 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Powikłania wczesne i późne przetok jelitowych. Profesjonalna opieka pielęgniarska nad chorymi z przetoką jelitową. 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B.W42; B.U42; K1; K2; K3; K4; K5; 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Elementy edukacji zdrowotnej pacjenta z przetoką jelitową i jego rodziny.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B.W43; 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B.U21; B.U39; B.U44; K1; K2; K3; K4; K5; 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 SYMULACYJNE, semestr II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i klasyfikacja ran przewlekłych, przebieg oraz postępowanie diagnostyczno-terapeutyczne.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Opatrunki specjalistyczne i środki stosowane w leczeniu ran przewlekłych, podciśnieniowe leczenie ran.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terapeutyczna pacjentów z ranami przewlekłymi, wsparcie chorego oraz jego rodzinę i opiekunów w profilaktyce, samokontroli i pielęgnacji ran przewlekłych; zapobieganie izolacji społecznej chorych.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B.U21; B.U39; B.U42; K1; K2; K3; K4; K5; 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Nowoczesne techniki pielęgnacji przetok jelitowych i moczowych.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B.U43;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KS1; KS2; KS3; KS4; KS5; KS6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Edukacja terapeutyczna i jego rodziny/opiekuna - </w:t>
            </w:r>
            <w:r w:rsidRPr="00E339A0">
              <w:rPr>
                <w:bCs/>
                <w:color w:val="auto"/>
                <w:sz w:val="20"/>
              </w:rPr>
              <w:t xml:space="preserve">przygotowanie pacjenta ze </w:t>
            </w:r>
            <w:proofErr w:type="spellStart"/>
            <w:r w:rsidRPr="00E339A0">
              <w:rPr>
                <w:bCs/>
                <w:color w:val="auto"/>
                <w:sz w:val="20"/>
              </w:rPr>
              <w:t>stomią</w:t>
            </w:r>
            <w:proofErr w:type="spellEnd"/>
            <w:r w:rsidRPr="00E339A0">
              <w:rPr>
                <w:bCs/>
                <w:color w:val="auto"/>
                <w:sz w:val="20"/>
              </w:rPr>
              <w:t xml:space="preserve"> do samoopieki oraz zapewnia doradztwo w doborze sprzętu </w:t>
            </w:r>
            <w:proofErr w:type="spellStart"/>
            <w:r w:rsidRPr="00E339A0">
              <w:rPr>
                <w:bCs/>
                <w:color w:val="auto"/>
                <w:sz w:val="20"/>
              </w:rPr>
              <w:t>stomijnego</w:t>
            </w:r>
            <w:proofErr w:type="spellEnd"/>
            <w:r w:rsidRPr="00E339A0">
              <w:rPr>
                <w:bCs/>
                <w:color w:val="auto"/>
                <w:sz w:val="20"/>
              </w:rPr>
              <w:t>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B.U44; 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PRAKTYKA ZAWODOWA, semestr II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i klasyfikacja ran przewlekłych, przebieg oraz postępowanie diagnostyczno-terapeutyczne.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KS1; KS2; KS3; KS4; KS5; KS6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Opatrunki specjalistyczne i środki stosowane w leczeniu ran przewlekłych, podciśnieniowe leczenie ran.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KS1; KS2; KS3; KS4; KS5; KS6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terapeutyczna pacjentów z ranami przewlekłymi, wsparcie chorego oraz jego rodzinę i opiekunów w profilaktyce, samokontroli i pielęgnacji ran przewlekłych; zapobieganie izolacji społecznej chorych.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B.U21; B.U39; B.U42; KS1; KS2; KS3; KS4; KS5; 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Nowoczesne techniki pielęgnacji przetok jelitowych i moczowych.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B.U43;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KS1; KS2; KS3; KS4; KS5; KS6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Edukacja terapeutyczna i jego rodziny/opiekuna - </w:t>
            </w:r>
            <w:r w:rsidRPr="00E339A0">
              <w:rPr>
                <w:bCs/>
                <w:color w:val="auto"/>
                <w:sz w:val="20"/>
              </w:rPr>
              <w:t xml:space="preserve">przygotowanie pacjenta ze </w:t>
            </w:r>
            <w:proofErr w:type="spellStart"/>
            <w:r w:rsidRPr="00E339A0">
              <w:rPr>
                <w:bCs/>
                <w:color w:val="auto"/>
                <w:sz w:val="20"/>
              </w:rPr>
              <w:t>stomią</w:t>
            </w:r>
            <w:proofErr w:type="spellEnd"/>
            <w:r w:rsidRPr="00E339A0">
              <w:rPr>
                <w:bCs/>
                <w:color w:val="auto"/>
                <w:sz w:val="20"/>
              </w:rPr>
              <w:t xml:space="preserve"> do samoopieki oraz zapewnia doradztwo w doborze sprzętu </w:t>
            </w:r>
            <w:proofErr w:type="spellStart"/>
            <w:r w:rsidRPr="00E339A0">
              <w:rPr>
                <w:bCs/>
                <w:color w:val="auto"/>
                <w:sz w:val="20"/>
              </w:rPr>
              <w:t>stomijnego</w:t>
            </w:r>
            <w:proofErr w:type="spellEnd"/>
            <w:r w:rsidRPr="00E339A0">
              <w:rPr>
                <w:bCs/>
                <w:color w:val="auto"/>
                <w:sz w:val="20"/>
              </w:rPr>
              <w:t>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B.U44; KS1; KS2; KS3; KS4; KS5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Opieka i edukacja terapeutyczna w przypadku ran przewlekłych (wybrać rodzaj ran).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19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B.W41; 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B.U42;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Opieka i edukacja terapeutyczna w przypadku przetoki.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19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B.W43 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B.U44;</w:t>
            </w:r>
          </w:p>
        </w:tc>
      </w:tr>
      <w:tr w:rsidR="001E499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E499E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E499E" w:rsidRPr="005C533D" w:rsidRDefault="001E499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Banasiewicz T.,</w:t>
            </w:r>
            <w:r>
              <w:rPr>
                <w:sz w:val="20"/>
                <w:szCs w:val="20"/>
              </w:rPr>
              <w:t xml:space="preserve"> Krokowicza P., Szczepkowski M.,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i/>
                <w:iCs/>
                <w:sz w:val="20"/>
                <w:szCs w:val="20"/>
              </w:rPr>
              <w:t>Stomia</w:t>
            </w:r>
            <w:proofErr w:type="spellEnd"/>
            <w:r w:rsidRPr="00E339A0">
              <w:rPr>
                <w:i/>
                <w:iCs/>
                <w:sz w:val="20"/>
                <w:szCs w:val="20"/>
              </w:rPr>
              <w:t>, prawidłowe postępow</w:t>
            </w:r>
            <w:r>
              <w:rPr>
                <w:i/>
                <w:iCs/>
                <w:sz w:val="20"/>
                <w:szCs w:val="20"/>
              </w:rPr>
              <w:t>anie chirurgiczne i pielęgnacja,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Termedia</w:t>
            </w:r>
            <w:proofErr w:type="spellEnd"/>
            <w:r>
              <w:rPr>
                <w:sz w:val="20"/>
                <w:szCs w:val="20"/>
              </w:rPr>
              <w:t xml:space="preserve">, Poznań </w:t>
            </w:r>
            <w:r w:rsidRPr="00E339A0">
              <w:rPr>
                <w:sz w:val="20"/>
                <w:szCs w:val="20"/>
              </w:rPr>
              <w:t>2014.</w:t>
            </w:r>
          </w:p>
          <w:p w:rsidR="001E499E" w:rsidRDefault="001E499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Czerkawska-Paczek B.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Egzamin magisterki z pielęgniarstwa. Repetytorium z zakresu wiedzy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="00424538">
              <w:rPr>
                <w:sz w:val="20"/>
                <w:szCs w:val="20"/>
              </w:rPr>
              <w:t>Edra</w:t>
            </w:r>
            <w:proofErr w:type="spellEnd"/>
            <w:r w:rsidR="00424538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Urban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&amp;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Partner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Wrocław 2016.</w:t>
            </w:r>
          </w:p>
          <w:p w:rsidR="001E499E" w:rsidRPr="005C533D" w:rsidRDefault="001E499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Grey J.E., Harding K.G.,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Leczenie ran w praktyce</w:t>
            </w:r>
            <w:r>
              <w:rPr>
                <w:sz w:val="20"/>
                <w:szCs w:val="20"/>
              </w:rPr>
              <w:t>, PZWL, Warszawa</w:t>
            </w:r>
            <w:r w:rsidR="00424538">
              <w:rPr>
                <w:sz w:val="20"/>
                <w:szCs w:val="20"/>
              </w:rPr>
              <w:t xml:space="preserve"> 2021</w:t>
            </w:r>
            <w:r w:rsidRPr="00E339A0">
              <w:rPr>
                <w:sz w:val="20"/>
                <w:szCs w:val="20"/>
              </w:rPr>
              <w:t>.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Krasowski G., Kruk M., </w:t>
            </w:r>
            <w:r w:rsidRPr="00E339A0">
              <w:rPr>
                <w:i/>
                <w:sz w:val="20"/>
                <w:szCs w:val="20"/>
              </w:rPr>
              <w:t>Leczenie odleżyn i ran przewlekłych</w:t>
            </w:r>
            <w:r w:rsidR="00424538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Ścisło</w:t>
            </w:r>
            <w:proofErr w:type="spellEnd"/>
            <w:r w:rsidRPr="00E339A0">
              <w:rPr>
                <w:sz w:val="20"/>
                <w:szCs w:val="20"/>
              </w:rPr>
              <w:t xml:space="preserve"> L.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Walewska E.</w:t>
            </w:r>
            <w:r w:rsidRPr="00E339A0">
              <w:rPr>
                <w:sz w:val="20"/>
                <w:szCs w:val="20"/>
              </w:rPr>
              <w:t xml:space="preserve"> (red.), </w:t>
            </w:r>
            <w:r w:rsidRPr="00E339A0">
              <w:rPr>
                <w:i/>
                <w:sz w:val="20"/>
                <w:szCs w:val="20"/>
              </w:rPr>
              <w:t>Procedury pielęgniarskie w chirurgii</w:t>
            </w:r>
            <w:r w:rsidR="00F5280A">
              <w:rPr>
                <w:sz w:val="20"/>
                <w:szCs w:val="20"/>
              </w:rPr>
              <w:t>, PZWL, Warszawa 2015</w:t>
            </w:r>
            <w:r w:rsidRPr="00E339A0">
              <w:rPr>
                <w:sz w:val="20"/>
                <w:szCs w:val="20"/>
              </w:rPr>
              <w:t>.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Strużyna J., </w:t>
            </w:r>
            <w:r w:rsidRPr="00E339A0">
              <w:rPr>
                <w:i/>
                <w:iCs/>
                <w:sz w:val="20"/>
                <w:szCs w:val="20"/>
              </w:rPr>
              <w:t>Wczesne leczenie oparzeń</w:t>
            </w:r>
            <w:r w:rsidRPr="00E339A0">
              <w:rPr>
                <w:sz w:val="20"/>
                <w:szCs w:val="20"/>
              </w:rPr>
              <w:t xml:space="preserve">, PZWL, Warszawa 2006. 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Obowiązujące </w:t>
            </w:r>
            <w:r w:rsidRPr="00E339A0">
              <w:rPr>
                <w:i/>
                <w:iCs/>
                <w:sz w:val="20"/>
                <w:szCs w:val="20"/>
              </w:rPr>
              <w:t>zalecenia profilaktyki i leczenia odleżyn. Leczenie Ran.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Obowiązujące </w:t>
            </w:r>
            <w:r w:rsidRPr="00E339A0">
              <w:rPr>
                <w:i/>
                <w:iCs/>
                <w:sz w:val="20"/>
                <w:szCs w:val="20"/>
              </w:rPr>
              <w:t xml:space="preserve">zalecenia Grupy Ekspertów w sprawie gojenia owrzodzeń żylnych goleni. </w:t>
            </w:r>
          </w:p>
          <w:p w:rsidR="001E499E" w:rsidRPr="00E339A0" w:rsidRDefault="001E499E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1E499E" w:rsidRPr="00E339A0" w:rsidRDefault="001E499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E499E" w:rsidRDefault="001E499E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Jawień A., Szewczyk M.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Kliniczne i pielęgnacyjne aspekty opieki nad chorym z owrzodzeniem żylnym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Termedia</w:t>
            </w:r>
            <w:proofErr w:type="spellEnd"/>
            <w:r w:rsidRPr="00E339A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Poznań</w:t>
            </w:r>
            <w:r w:rsidRPr="00E339A0">
              <w:rPr>
                <w:sz w:val="20"/>
                <w:szCs w:val="20"/>
              </w:rPr>
              <w:t xml:space="preserve"> 2008.</w:t>
            </w:r>
          </w:p>
          <w:p w:rsidR="001E499E" w:rsidRPr="005C533D" w:rsidRDefault="001E499E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</w:t>
            </w:r>
            <w:r w:rsidRPr="005C533D">
              <w:rPr>
                <w:bCs/>
                <w:color w:val="auto"/>
                <w:sz w:val="20"/>
                <w:szCs w:val="20"/>
              </w:rPr>
              <w:t xml:space="preserve">alewska E. (red.), </w:t>
            </w:r>
            <w:r w:rsidRPr="005C533D">
              <w:rPr>
                <w:bCs/>
                <w:i/>
                <w:color w:val="auto"/>
                <w:sz w:val="20"/>
                <w:szCs w:val="20"/>
              </w:rPr>
              <w:t>Podstawy pielęgniarstwa chirurgicznego</w:t>
            </w:r>
            <w:r w:rsidR="00F5280A">
              <w:rPr>
                <w:bCs/>
                <w:color w:val="auto"/>
                <w:sz w:val="20"/>
                <w:szCs w:val="20"/>
              </w:rPr>
              <w:t>, PZWL, Warszawa 2022</w:t>
            </w:r>
            <w:r w:rsidRPr="005C533D">
              <w:rPr>
                <w:bCs/>
                <w:color w:val="auto"/>
                <w:sz w:val="20"/>
                <w:szCs w:val="20"/>
              </w:rPr>
              <w:t>.</w:t>
            </w:r>
          </w:p>
        </w:tc>
      </w:tr>
      <w:tr w:rsidR="001E499E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E499E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Default="001E499E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1E499E" w:rsidRPr="002E42BF" w:rsidRDefault="001E499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</w:t>
            </w:r>
            <w:r w:rsidRPr="002E42BF">
              <w:rPr>
                <w:sz w:val="20"/>
                <w:szCs w:val="20"/>
              </w:rPr>
              <w:t xml:space="preserve"> – wykłady  </w:t>
            </w:r>
          </w:p>
          <w:p w:rsidR="001E499E" w:rsidRPr="002E42BF" w:rsidRDefault="001E499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1E499E" w:rsidRPr="002E42BF" w:rsidRDefault="001E499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</w:t>
            </w:r>
            <w:r>
              <w:rPr>
                <w:sz w:val="20"/>
                <w:szCs w:val="20"/>
              </w:rPr>
              <w:t>ćwiczenia symulacyjne</w:t>
            </w:r>
          </w:p>
          <w:p w:rsidR="001E499E" w:rsidRPr="002E42BF" w:rsidRDefault="001E499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praktyka zawodowa</w:t>
            </w:r>
          </w:p>
          <w:p w:rsidR="001E499E" w:rsidRPr="002E42BF" w:rsidRDefault="001E499E" w:rsidP="00DB38ED">
            <w:pPr>
              <w:rPr>
                <w:b/>
                <w:bCs/>
                <w:sz w:val="20"/>
                <w:szCs w:val="20"/>
              </w:rPr>
            </w:pPr>
          </w:p>
          <w:p w:rsidR="001E499E" w:rsidRPr="002E42BF" w:rsidRDefault="001E499E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E499E" w:rsidRPr="002E42BF" w:rsidRDefault="001E499E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1E499E" w:rsidRPr="002E42BF" w:rsidRDefault="001E499E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1E499E" w:rsidRPr="002E42BF" w:rsidRDefault="001E499E" w:rsidP="001E499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1E499E" w:rsidRDefault="001E499E" w:rsidP="001E499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1E499E" w:rsidRDefault="001E499E" w:rsidP="001E499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 (3 pytania) lub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1E499E" w:rsidRDefault="001E499E" w:rsidP="00DB38ED">
            <w:pPr>
              <w:rPr>
                <w:b/>
                <w:bCs/>
                <w:sz w:val="20"/>
                <w:szCs w:val="20"/>
              </w:rPr>
            </w:pPr>
          </w:p>
          <w:p w:rsidR="001E499E" w:rsidRPr="00CE48BD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1E499E" w:rsidRPr="002E42BF" w:rsidRDefault="001E499E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E499E" w:rsidRPr="002E42BF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E499E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1E499E" w:rsidRPr="00E339A0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1E499E" w:rsidRDefault="001E499E" w:rsidP="00DB38ED">
            <w:pPr>
              <w:rPr>
                <w:b/>
                <w:bCs/>
                <w:sz w:val="20"/>
                <w:szCs w:val="20"/>
              </w:rPr>
            </w:pPr>
          </w:p>
          <w:p w:rsidR="001E499E" w:rsidRPr="00CE48BD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1E499E" w:rsidRPr="002E42BF" w:rsidRDefault="001E499E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E499E" w:rsidRPr="002E42BF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E499E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1E499E" w:rsidRPr="007978A1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1E499E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lastRenderedPageBreak/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1E499E" w:rsidRPr="007978A1" w:rsidRDefault="001E499E" w:rsidP="00DB38ED">
            <w:pPr>
              <w:rPr>
                <w:sz w:val="20"/>
                <w:szCs w:val="20"/>
              </w:rPr>
            </w:pPr>
          </w:p>
          <w:p w:rsidR="001E499E" w:rsidRPr="00785671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:rsidR="001E499E" w:rsidRPr="002E42BF" w:rsidRDefault="001E499E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1E499E" w:rsidRPr="002E42BF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E499E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 xml:space="preserve">praktykach zawodowych, </w:t>
            </w:r>
          </w:p>
          <w:p w:rsidR="001E499E" w:rsidRPr="00582CF1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 xml:space="preserve"> w zakresie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1E499E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1E499E" w:rsidRPr="00CE48BD" w:rsidRDefault="001E499E" w:rsidP="00DB38ED">
            <w:pPr>
              <w:rPr>
                <w:sz w:val="20"/>
                <w:szCs w:val="20"/>
              </w:rPr>
            </w:pPr>
          </w:p>
          <w:p w:rsidR="001E499E" w:rsidRPr="002B7460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1E499E" w:rsidRPr="002B7460" w:rsidRDefault="001E499E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E499E" w:rsidRPr="002E42BF" w:rsidTr="00DB38ED">
              <w:tc>
                <w:tcPr>
                  <w:tcW w:w="1271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1E499E" w:rsidRPr="002E42BF" w:rsidTr="00DB38ED">
              <w:tc>
                <w:tcPr>
                  <w:tcW w:w="1271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1E499E" w:rsidRDefault="001E499E" w:rsidP="00DB38ED">
            <w:pPr>
              <w:rPr>
                <w:b/>
                <w:bCs/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1E499E" w:rsidRPr="00196B72" w:rsidRDefault="001E499E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1E499E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1E499E" w:rsidRPr="00196B72" w:rsidRDefault="001E499E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1E499E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1E499E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1E499E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1E499E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1E499E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1E499E" w:rsidRPr="00196B72" w:rsidRDefault="001E499E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1E499E" w:rsidRDefault="001E499E" w:rsidP="00DB38ED">
            <w:pPr>
              <w:rPr>
                <w:b/>
                <w:bCs/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1E499E" w:rsidRPr="00196B72" w:rsidTr="00DB38ED">
              <w:tc>
                <w:tcPr>
                  <w:tcW w:w="673" w:type="dxa"/>
                  <w:vAlign w:val="center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1E499E" w:rsidRPr="00196B72" w:rsidRDefault="001E499E" w:rsidP="001E499E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średnia ocen z </w:t>
            </w:r>
            <w:r>
              <w:rPr>
                <w:sz w:val="20"/>
                <w:szCs w:val="20"/>
              </w:rPr>
              <w:t>wszystkich form zajęć.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1E499E" w:rsidRPr="00CD7681" w:rsidRDefault="001E499E" w:rsidP="00DB38ED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0720EA" w:rsidRPr="00E339A0" w:rsidTr="000720EA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EA" w:rsidRPr="00E339A0" w:rsidRDefault="000720EA" w:rsidP="00DB38ED">
            <w:pPr>
              <w:spacing w:after="120"/>
              <w:rPr>
                <w:sz w:val="20"/>
                <w:szCs w:val="20"/>
              </w:rPr>
            </w:pPr>
            <w:bookmarkStart w:id="0" w:name="_GoBack" w:colFirst="0" w:colLast="0"/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1"/>
  </w:num>
  <w:num w:numId="6">
    <w:abstractNumId w:val="4"/>
  </w:num>
  <w:num w:numId="7">
    <w:abstractNumId w:val="2"/>
  </w:num>
  <w:num w:numId="8">
    <w:abstractNumId w:val="13"/>
  </w:num>
  <w:num w:numId="9">
    <w:abstractNumId w:val="10"/>
  </w:num>
  <w:num w:numId="10">
    <w:abstractNumId w:val="12"/>
  </w:num>
  <w:num w:numId="11">
    <w:abstractNumId w:val="0"/>
  </w:num>
  <w:num w:numId="12">
    <w:abstractNumId w:val="7"/>
  </w:num>
  <w:num w:numId="13">
    <w:abstractNumId w:val="9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720EA"/>
    <w:rsid w:val="001147E6"/>
    <w:rsid w:val="001E499E"/>
    <w:rsid w:val="00380077"/>
    <w:rsid w:val="00424538"/>
    <w:rsid w:val="007B47A2"/>
    <w:rsid w:val="00A148E3"/>
    <w:rsid w:val="00A21B10"/>
    <w:rsid w:val="00D003E8"/>
    <w:rsid w:val="00E0541B"/>
    <w:rsid w:val="00EE2761"/>
    <w:rsid w:val="00F5280A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3506</Words>
  <Characters>21038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Katarzyna Konopacka</cp:lastModifiedBy>
  <cp:revision>11</cp:revision>
  <dcterms:created xsi:type="dcterms:W3CDTF">2021-01-04T11:28:00Z</dcterms:created>
  <dcterms:modified xsi:type="dcterms:W3CDTF">2022-10-14T09:08:00Z</dcterms:modified>
</cp:coreProperties>
</file>