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8"/>
        <w:gridCol w:w="19"/>
        <w:gridCol w:w="1558"/>
        <w:gridCol w:w="843"/>
        <w:gridCol w:w="2737"/>
        <w:gridCol w:w="621"/>
        <w:gridCol w:w="832"/>
        <w:gridCol w:w="732"/>
        <w:gridCol w:w="1736"/>
      </w:tblGrid>
      <w:tr w:rsidR="00AC3995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6F0D6B6E" wp14:editId="70DF4E59">
                  <wp:extent cx="1333500" cy="751205"/>
                  <wp:effectExtent l="0" t="0" r="0" b="0"/>
                  <wp:docPr id="6" name="Obraz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AC3995" w:rsidRPr="00E339A0" w:rsidRDefault="00AC3995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CYKL KSZTAŁCENIA 202</w:t>
            </w:r>
            <w:r w:rsidR="00CA043C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CA043C">
              <w:rPr>
                <w:sz w:val="20"/>
                <w:szCs w:val="20"/>
              </w:rPr>
              <w:t>4</w:t>
            </w:r>
            <w:r w:rsidRPr="00E339A0">
              <w:rPr>
                <w:sz w:val="20"/>
                <w:szCs w:val="20"/>
              </w:rPr>
              <w:t xml:space="preserve">                                         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JĘZYK OBCY – JĘZYK ANGIELSKI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/ niestacjonarne 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uzupełniające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AC3995" w:rsidRPr="003A3C81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09" w:type="pct"/>
          </w:tcPr>
          <w:p w:rsidR="00AC3995" w:rsidRPr="00E339A0" w:rsidRDefault="00AC399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I X    II X</w:t>
            </w:r>
            <w:r w:rsidRPr="00E339A0">
              <w:rPr>
                <w:color w:val="auto"/>
                <w:sz w:val="20"/>
                <w:szCs w:val="20"/>
              </w:rPr>
              <w:t xml:space="preserve">   III □      </w:t>
            </w:r>
          </w:p>
        </w:tc>
        <w:tc>
          <w:tcPr>
            <w:tcW w:w="1875" w:type="pct"/>
            <w:gridSpan w:val="4"/>
          </w:tcPr>
          <w:p w:rsidR="00AC3995" w:rsidRPr="00E339A0" w:rsidRDefault="00AC3995" w:rsidP="00DB38ED">
            <w:pPr>
              <w:pStyle w:val="Default"/>
              <w:spacing w:after="120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E339A0">
              <w:rPr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39A0">
              <w:rPr>
                <w:color w:val="auto"/>
                <w:sz w:val="20"/>
                <w:szCs w:val="20"/>
                <w:lang w:val="en-US"/>
              </w:rPr>
              <w:t>studiów</w:t>
            </w:r>
            <w:proofErr w:type="spellEnd"/>
            <w:r w:rsidRPr="00E339A0">
              <w:rPr>
                <w:color w:val="auto"/>
                <w:sz w:val="20"/>
                <w:szCs w:val="20"/>
                <w:lang w:val="en-US"/>
              </w:rPr>
              <w:t xml:space="preserve">*:   </w:t>
            </w:r>
            <w:r w:rsidRPr="00E339A0">
              <w:rPr>
                <w:color w:val="auto"/>
                <w:sz w:val="20"/>
                <w:szCs w:val="20"/>
                <w:lang w:val="en-US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  <w:lang w:val="en-US"/>
              </w:rPr>
              <w:t>1 X   2 X    3 X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     4□     5□     6□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6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AC3995" w:rsidRPr="003A3C81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AC3995" w:rsidRPr="00E339A0" w:rsidRDefault="00AC3995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nauki społeczne i humanistyczne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  </w:t>
            </w:r>
          </w:p>
          <w:p w:rsidR="00AC3995" w:rsidRPr="00E339A0" w:rsidRDefault="00AC3995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AC3995" w:rsidRPr="00E339A0" w:rsidRDefault="00AC3995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AC3995" w:rsidRPr="00E339A0" w:rsidRDefault="00AC3995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4" w:type="pct"/>
            <w:gridSpan w:val="5"/>
          </w:tcPr>
          <w:p w:rsidR="00AC3995" w:rsidRPr="00E339A0" w:rsidRDefault="00F00D0C" w:rsidP="004C2041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Według planu </w:t>
            </w:r>
            <w:proofErr w:type="spellStart"/>
            <w:r>
              <w:rPr>
                <w:bCs/>
                <w:sz w:val="20"/>
                <w:szCs w:val="20"/>
              </w:rPr>
              <w:t>studióa</w:t>
            </w:r>
            <w:proofErr w:type="spellEnd"/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AC3995" w:rsidRPr="00E339A0" w:rsidRDefault="00AC399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60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60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90/150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6</w:t>
            </w:r>
          </w:p>
        </w:tc>
      </w:tr>
      <w:tr w:rsidR="00AC3995" w:rsidRPr="00E339A0" w:rsidTr="00DB38ED">
        <w:trPr>
          <w:trHeight w:val="346"/>
        </w:trPr>
        <w:tc>
          <w:tcPr>
            <w:tcW w:w="14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AC3995" w:rsidRPr="00E339A0" w:rsidRDefault="00AC3995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5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C3995" w:rsidRPr="00E339A0" w:rsidRDefault="00AC399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metoda kognitywna, </w:t>
            </w:r>
          </w:p>
          <w:p w:rsidR="00AC3995" w:rsidRPr="00E339A0" w:rsidRDefault="00AC399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metoda dedukcji,</w:t>
            </w:r>
          </w:p>
          <w:p w:rsidR="00AC3995" w:rsidRPr="00E339A0" w:rsidRDefault="00AC399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metoda indukcji,</w:t>
            </w:r>
          </w:p>
          <w:p w:rsidR="00AC3995" w:rsidRPr="00E339A0" w:rsidRDefault="00AC399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metody aktywizujące (krótkie reakcje językowe, odgrywanie ról, pracę w parach, pracę w grupach, zadania problemowe, ćwiczenia na rozumienie tekstu słuchanego).</w:t>
            </w:r>
          </w:p>
        </w:tc>
      </w:tr>
      <w:tr w:rsidR="00AC3995" w:rsidRPr="00E339A0" w:rsidTr="00DB38ED">
        <w:trPr>
          <w:trHeight w:val="346"/>
        </w:trPr>
        <w:tc>
          <w:tcPr>
            <w:tcW w:w="14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5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C3995" w:rsidRPr="00E339A0" w:rsidRDefault="00AC3995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do posługiwania się językiem angielskim na poziomie B2 Europejskiego Systemu Opisu Kształcenia Językowego.</w:t>
            </w:r>
          </w:p>
        </w:tc>
      </w:tr>
      <w:tr w:rsidR="00AC3995" w:rsidRPr="00E339A0" w:rsidTr="00DB38ED">
        <w:trPr>
          <w:trHeight w:val="346"/>
        </w:trPr>
        <w:tc>
          <w:tcPr>
            <w:tcW w:w="14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AC3995" w:rsidRPr="00E339A0" w:rsidRDefault="00AC3995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5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C3995" w:rsidRPr="00E339A0" w:rsidRDefault="00AC3995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AC3995" w:rsidRPr="00E339A0" w:rsidTr="00F00D0C">
        <w:trPr>
          <w:trHeight w:val="405"/>
        </w:trPr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</w:p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</w:p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35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Znajomość języka angielskiego na poziomie B1 Europejskiego Systemu Opisu Kształcenia Językowego.</w:t>
            </w:r>
          </w:p>
        </w:tc>
      </w:tr>
      <w:tr w:rsidR="00AC3995" w:rsidRPr="00E339A0" w:rsidTr="00F00D0C">
        <w:trPr>
          <w:trHeight w:val="405"/>
        </w:trPr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Umiejętności:</w:t>
            </w:r>
          </w:p>
        </w:tc>
        <w:tc>
          <w:tcPr>
            <w:tcW w:w="35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Komunikacja w języku angielskim na poziomie ponadpodstawowym.</w:t>
            </w:r>
          </w:p>
        </w:tc>
      </w:tr>
      <w:tr w:rsidR="00AC3995" w:rsidRPr="00E339A0" w:rsidTr="00F00D0C">
        <w:trPr>
          <w:trHeight w:val="405"/>
        </w:trPr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Kompetencje społeczne:</w:t>
            </w:r>
          </w:p>
        </w:tc>
        <w:tc>
          <w:tcPr>
            <w:tcW w:w="35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Systematycznie wzbogaca słownictwo, a także dba o prestiż związany z wykonywaniem zawodu pielęgniarki.</w:t>
            </w:r>
          </w:p>
        </w:tc>
      </w:tr>
      <w:tr w:rsidR="00AC399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C3995" w:rsidRPr="00E339A0" w:rsidRDefault="00AC3995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AC3995" w:rsidRPr="00E339A0" w:rsidTr="00F00D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95" w:rsidRPr="00E339A0" w:rsidRDefault="00AC3995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AC3995" w:rsidRPr="00E339A0" w:rsidRDefault="00AC3995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4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95" w:rsidRPr="00E339A0" w:rsidRDefault="00AC3995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AC3995" w:rsidRPr="00E339A0" w:rsidRDefault="00AC399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AC3995" w:rsidRPr="00E339A0" w:rsidTr="00F00D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A.U21</w:t>
            </w:r>
          </w:p>
        </w:tc>
        <w:tc>
          <w:tcPr>
            <w:tcW w:w="24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Porozumiewa się w języku angielskim na poziomie B2+ Europejskiego Systemu Kształcenia Językowego.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95" w:rsidRPr="00E339A0" w:rsidRDefault="00AC399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i/lub ustny, projekt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95" w:rsidRPr="00E339A0" w:rsidRDefault="00AC399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K/Ć</w:t>
            </w:r>
          </w:p>
        </w:tc>
      </w:tr>
      <w:tr w:rsidR="00AC3995" w:rsidRPr="00E339A0" w:rsidTr="00F00D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K.3</w:t>
            </w:r>
          </w:p>
        </w:tc>
        <w:tc>
          <w:tcPr>
            <w:tcW w:w="24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95" w:rsidRPr="00E339A0" w:rsidRDefault="00AC3995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obserwacja, samoocena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95" w:rsidRPr="00E339A0" w:rsidRDefault="00AC399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K/Ć</w:t>
            </w:r>
          </w:p>
        </w:tc>
      </w:tr>
      <w:tr w:rsidR="00AC399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95" w:rsidRPr="00E339A0" w:rsidRDefault="00AC3995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AC399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95" w:rsidRPr="00E339A0" w:rsidRDefault="00AC3995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AC3995" w:rsidRPr="00E339A0" w:rsidRDefault="00AC3995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AC3995" w:rsidRPr="00E339A0" w:rsidRDefault="00AC3995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AC3995" w:rsidRPr="00E339A0" w:rsidRDefault="00AC3995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AC3995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KONWERSATORIA, semestr I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1. Miejsce pracy pielęgniarki i położenia oddziałów szpitalnych i innych pomieszczeń. Opisywanie drogi. Nazwy pomieszczeń i zabiegów tam wykonywanych.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2. Nazewnictwo dotyczące personelu pielęgniarskiego, administracyjnego oraz specjalistów.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3. Części ciała, obrażenia, rany powierzchniowe.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4. Zbieranie danych o pacjencie. Wywiad z pacjentem.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5. Zagadnienia gramatyczne.  Czasowniki regularne, czasowniki nieregularne, czasowniki modalne. Czasy gramatyczne –główny podział. Wyrażanie teraźniejszości, przeszłości, przyszłości. 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1. Zaznajamianie pacjentów z czynnościami lub zabiegami, jakimi będą poddani.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2. Formularz – przyjęcie pacjenta. 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3. Karta pacjenta. 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4. Wewnętrzne organy ludzkie.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5. Szczegółowy opis zabiegu. Toaleta przyłóżkowa.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6. Zgoda a operację.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7. Podanie o pracę, odpisywanie na ogłoszenie. Rozmowa kwalifikacyjna.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1. Odczytywanie wyników badań.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2. Leki – zastosowanie, działanie i dawkowanie.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3. Wypis.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4. Skierowania do specjalistów.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5. Historia choroby.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6. Pogotowie - telefoniczne przyjmowanie zgłoszeń o wypadku.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lastRenderedPageBreak/>
              <w:t>Samodzielna praca studenta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Uzupełnienie wiedzy zdobytej w ramach ćwiczeń.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60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C3995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AC3995" w:rsidRPr="00E339A0" w:rsidRDefault="00AC3995" w:rsidP="00DB38ED">
            <w:pPr>
              <w:pStyle w:val="Akapitzlist"/>
              <w:widowControl/>
              <w:numPr>
                <w:ilvl w:val="0"/>
                <w:numId w:val="21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  <w:lang w:val="en-US"/>
              </w:rPr>
              <w:t>Aus</w:t>
            </w:r>
            <w:r>
              <w:rPr>
                <w:sz w:val="20"/>
                <w:szCs w:val="20"/>
                <w:lang w:val="en-US"/>
              </w:rPr>
              <w:t xml:space="preserve">tin D., </w:t>
            </w:r>
            <w:proofErr w:type="spellStart"/>
            <w:r>
              <w:rPr>
                <w:sz w:val="20"/>
                <w:szCs w:val="20"/>
                <w:lang w:val="en-US"/>
              </w:rPr>
              <w:t>Crosfield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T., Dallas D.,</w:t>
            </w:r>
            <w:r w:rsidRPr="00E339A0">
              <w:rPr>
                <w:sz w:val="20"/>
                <w:szCs w:val="20"/>
                <w:lang w:val="en-US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  <w:lang w:val="en-US"/>
              </w:rPr>
              <w:t>English for Nurses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 w:rsidRPr="00E339A0">
              <w:rPr>
                <w:sz w:val="20"/>
                <w:szCs w:val="20"/>
              </w:rPr>
              <w:t>PZWL</w:t>
            </w:r>
            <w:r>
              <w:rPr>
                <w:sz w:val="20"/>
                <w:szCs w:val="20"/>
              </w:rPr>
              <w:t xml:space="preserve"> Warszawa</w:t>
            </w:r>
            <w:r w:rsidRPr="00E339A0">
              <w:rPr>
                <w:sz w:val="20"/>
                <w:szCs w:val="20"/>
              </w:rPr>
              <w:t xml:space="preserve"> 2007. </w:t>
            </w:r>
          </w:p>
          <w:p w:rsidR="00AC3995" w:rsidRDefault="00AC3995" w:rsidP="00DB38ED">
            <w:pPr>
              <w:pStyle w:val="Akapitzlist"/>
              <w:widowControl/>
              <w:numPr>
                <w:ilvl w:val="0"/>
                <w:numId w:val="21"/>
              </w:numPr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E339A0">
              <w:rPr>
                <w:sz w:val="20"/>
                <w:szCs w:val="20"/>
                <w:lang w:val="en-US"/>
              </w:rPr>
              <w:t xml:space="preserve">Evans V., Salcido K., </w:t>
            </w:r>
            <w:r w:rsidRPr="00E339A0">
              <w:rPr>
                <w:i/>
                <w:iCs/>
                <w:sz w:val="20"/>
                <w:szCs w:val="20"/>
                <w:lang w:val="en-US"/>
              </w:rPr>
              <w:t>Career Paths Nursing</w:t>
            </w:r>
            <w:r w:rsidRPr="00E339A0">
              <w:rPr>
                <w:sz w:val="20"/>
                <w:szCs w:val="20"/>
                <w:lang w:val="en-US"/>
              </w:rPr>
              <w:t xml:space="preserve">, Express Publishing, </w:t>
            </w:r>
            <w:proofErr w:type="spellStart"/>
            <w:r>
              <w:rPr>
                <w:sz w:val="20"/>
                <w:szCs w:val="20"/>
                <w:lang w:val="en-US"/>
              </w:rPr>
              <w:t>Kraków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E339A0">
              <w:rPr>
                <w:sz w:val="20"/>
                <w:szCs w:val="20"/>
                <w:lang w:val="en-US"/>
              </w:rPr>
              <w:t>2011.</w:t>
            </w:r>
          </w:p>
          <w:p w:rsidR="00AC3995" w:rsidRPr="007616D4" w:rsidRDefault="00AC3995" w:rsidP="00DB38ED">
            <w:pPr>
              <w:pStyle w:val="Akapitzlist"/>
              <w:widowControl/>
              <w:numPr>
                <w:ilvl w:val="0"/>
                <w:numId w:val="21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Słowniki medyczne angielsko-polskie i polsko-angielskie, np.: Gordon J., </w:t>
            </w:r>
            <w:r w:rsidRPr="00E339A0">
              <w:rPr>
                <w:i/>
                <w:sz w:val="20"/>
                <w:szCs w:val="20"/>
              </w:rPr>
              <w:t>Słownik dla Pielęgniarek i Personelu Medycznego</w:t>
            </w:r>
            <w:r w:rsidRPr="00E339A0">
              <w:rPr>
                <w:sz w:val="20"/>
                <w:szCs w:val="20"/>
              </w:rPr>
              <w:t xml:space="preserve">, Level Trading, </w:t>
            </w:r>
            <w:r>
              <w:rPr>
                <w:sz w:val="20"/>
                <w:szCs w:val="20"/>
              </w:rPr>
              <w:t xml:space="preserve">Czernica </w:t>
            </w:r>
            <w:r w:rsidRPr="00E339A0">
              <w:rPr>
                <w:sz w:val="20"/>
                <w:szCs w:val="20"/>
              </w:rPr>
              <w:t>2011.</w:t>
            </w:r>
          </w:p>
          <w:p w:rsidR="00AC3995" w:rsidRPr="00E339A0" w:rsidRDefault="00AC3995" w:rsidP="00DB38ED">
            <w:pPr>
              <w:adjustRightInd w:val="0"/>
              <w:ind w:left="720"/>
              <w:jc w:val="both"/>
              <w:rPr>
                <w:b/>
                <w:sz w:val="20"/>
                <w:szCs w:val="20"/>
                <w:lang w:val="en-US"/>
              </w:rPr>
            </w:pPr>
          </w:p>
          <w:p w:rsidR="00AC3995" w:rsidRPr="00E339A0" w:rsidRDefault="00AC3995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AC3995" w:rsidRPr="00E339A0" w:rsidRDefault="00AC3995" w:rsidP="00DB38ED">
            <w:pPr>
              <w:pStyle w:val="Akapitzlist"/>
              <w:widowControl/>
              <w:numPr>
                <w:ilvl w:val="0"/>
                <w:numId w:val="20"/>
              </w:numPr>
              <w:suppressAutoHyphens/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Donesch-Jeżo</w:t>
            </w:r>
            <w:proofErr w:type="spellEnd"/>
            <w:r w:rsidRPr="00E339A0">
              <w:rPr>
                <w:sz w:val="20"/>
                <w:szCs w:val="20"/>
              </w:rPr>
              <w:t xml:space="preserve"> E., </w:t>
            </w:r>
            <w:r w:rsidRPr="00E339A0">
              <w:rPr>
                <w:i/>
                <w:sz w:val="20"/>
                <w:szCs w:val="20"/>
              </w:rPr>
              <w:t xml:space="preserve">English for </w:t>
            </w:r>
            <w:proofErr w:type="spellStart"/>
            <w:r w:rsidRPr="00E339A0">
              <w:rPr>
                <w:i/>
                <w:sz w:val="20"/>
                <w:szCs w:val="20"/>
              </w:rPr>
              <w:t>Nurses</w:t>
            </w:r>
            <w:proofErr w:type="spellEnd"/>
            <w:r w:rsidRPr="00E339A0">
              <w:rPr>
                <w:sz w:val="20"/>
                <w:szCs w:val="20"/>
              </w:rPr>
              <w:t>, Przegląd Lekarski, Kraków 2002.</w:t>
            </w:r>
          </w:p>
          <w:p w:rsidR="00AC3995" w:rsidRPr="00E339A0" w:rsidRDefault="00AC3995" w:rsidP="00DB38ED">
            <w:pPr>
              <w:pStyle w:val="Akapitzlist"/>
              <w:widowControl/>
              <w:numPr>
                <w:ilvl w:val="0"/>
                <w:numId w:val="20"/>
              </w:numPr>
              <w:suppressAutoHyphens/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Ellis J. R., Hartley C. L.,</w:t>
            </w:r>
            <w:r w:rsidRPr="00E339A0">
              <w:rPr>
                <w:sz w:val="20"/>
                <w:szCs w:val="20"/>
                <w:lang w:val="en-US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  <w:lang w:val="en-US"/>
              </w:rPr>
              <w:t>Nursing in Today's World: Trends, Issues, and Management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339A0">
              <w:rPr>
                <w:sz w:val="20"/>
                <w:szCs w:val="20"/>
              </w:rPr>
              <w:t>Viamedica</w:t>
            </w:r>
            <w:proofErr w:type="spellEnd"/>
            <w:r>
              <w:rPr>
                <w:sz w:val="20"/>
                <w:szCs w:val="20"/>
              </w:rPr>
              <w:t>, Gdańsk</w:t>
            </w:r>
            <w:r w:rsidRPr="00E339A0">
              <w:rPr>
                <w:sz w:val="20"/>
                <w:szCs w:val="20"/>
              </w:rPr>
              <w:t xml:space="preserve"> 2007. </w:t>
            </w:r>
          </w:p>
          <w:p w:rsidR="00AC3995" w:rsidRPr="00E339A0" w:rsidRDefault="00AC3995" w:rsidP="00DB38ED">
            <w:pPr>
              <w:pStyle w:val="Akapitzlist"/>
              <w:widowControl/>
              <w:numPr>
                <w:ilvl w:val="0"/>
                <w:numId w:val="20"/>
              </w:numPr>
              <w:suppressAutoHyphens/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Orawczak</w:t>
            </w:r>
            <w:proofErr w:type="spellEnd"/>
            <w:r>
              <w:rPr>
                <w:sz w:val="20"/>
                <w:szCs w:val="20"/>
              </w:rPr>
              <w:t xml:space="preserve"> E., </w:t>
            </w:r>
            <w:r w:rsidRPr="007616D4">
              <w:rPr>
                <w:i/>
                <w:sz w:val="20"/>
                <w:szCs w:val="20"/>
              </w:rPr>
              <w:t>Praktyczny angielski dla pielęgniarki,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Czele</w:t>
            </w:r>
            <w:r w:rsidRPr="00E339A0">
              <w:rPr>
                <w:sz w:val="20"/>
                <w:szCs w:val="20"/>
              </w:rPr>
              <w:t>j</w:t>
            </w:r>
            <w:proofErr w:type="spellEnd"/>
            <w:r>
              <w:rPr>
                <w:sz w:val="20"/>
                <w:szCs w:val="20"/>
              </w:rPr>
              <w:t>, Lublin</w:t>
            </w:r>
            <w:r w:rsidRPr="00E339A0">
              <w:rPr>
                <w:sz w:val="20"/>
                <w:szCs w:val="20"/>
              </w:rPr>
              <w:t xml:space="preserve"> 2006.</w:t>
            </w:r>
            <w:r w:rsidRPr="00E339A0">
              <w:rPr>
                <w:sz w:val="22"/>
              </w:rPr>
              <w:t xml:space="preserve"> </w:t>
            </w:r>
          </w:p>
        </w:tc>
      </w:tr>
      <w:tr w:rsidR="00AC3995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AC3995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AC3995" w:rsidRPr="00E339A0" w:rsidRDefault="00AC3995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– konwersatorium/ćwiczenia </w:t>
            </w:r>
          </w:p>
          <w:p w:rsidR="00AC3995" w:rsidRPr="00E339A0" w:rsidRDefault="00AC3995" w:rsidP="00DB38ED">
            <w:pPr>
              <w:rPr>
                <w:b/>
                <w:bCs/>
                <w:sz w:val="20"/>
                <w:szCs w:val="20"/>
              </w:rPr>
            </w:pPr>
          </w:p>
          <w:p w:rsidR="00AC3995" w:rsidRPr="00E339A0" w:rsidRDefault="00AC3995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AC3995" w:rsidRPr="00E339A0" w:rsidRDefault="00AC3995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PRZEDMIOTU - PRZEDMIOT KOŃCZY SIĘ EGZAMINEM</w:t>
            </w:r>
          </w:p>
          <w:p w:rsidR="00AC3995" w:rsidRPr="00E339A0" w:rsidRDefault="00AC3995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Ćwiczenia/konwersatoria</w:t>
            </w:r>
          </w:p>
          <w:p w:rsidR="00AC3995" w:rsidRPr="00E339A0" w:rsidRDefault="00AC3995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AC3995" w:rsidRPr="00E339A0" w:rsidRDefault="00AC3995" w:rsidP="00AC399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C3995" w:rsidRPr="00E339A0" w:rsidRDefault="00AC3995" w:rsidP="00AC399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AC3995" w:rsidRDefault="00AC3995" w:rsidP="00AC399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:rsidR="00AC3995" w:rsidRPr="00E339A0" w:rsidRDefault="00AC3995" w:rsidP="00AC399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pisemnego i/lub ustnego na 3 pytania.</w:t>
            </w:r>
          </w:p>
          <w:p w:rsidR="00AC3995" w:rsidRPr="00E339A0" w:rsidRDefault="00AC3995" w:rsidP="00DB38ED">
            <w:pPr>
              <w:rPr>
                <w:b/>
                <w:bCs/>
                <w:sz w:val="20"/>
                <w:szCs w:val="20"/>
              </w:rPr>
            </w:pPr>
          </w:p>
          <w:p w:rsidR="00AC3995" w:rsidRPr="00E339A0" w:rsidRDefault="00AC3995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po każdym semestrze</w:t>
            </w:r>
          </w:p>
          <w:p w:rsidR="00AC3995" w:rsidRPr="00E339A0" w:rsidRDefault="00AC3995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AC3995" w:rsidRPr="00E339A0" w:rsidRDefault="00AC3995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ma formę testu pisemnego, </w:t>
            </w:r>
            <w:r w:rsidRPr="00E339A0">
              <w:rPr>
                <w:iCs/>
                <w:sz w:val="20"/>
                <w:szCs w:val="20"/>
              </w:rPr>
              <w:t xml:space="preserve">test uzupełniania odpowiedzi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AC3995" w:rsidRPr="00E339A0" w:rsidRDefault="00AC3995" w:rsidP="00DB38ED">
            <w:pPr>
              <w:rPr>
                <w:b/>
                <w:bCs/>
                <w:sz w:val="20"/>
                <w:szCs w:val="20"/>
              </w:rPr>
            </w:pPr>
            <w:bookmarkStart w:id="0" w:name="_Toc54014447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0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AC3995" w:rsidRPr="00E339A0" w:rsidTr="00DB38ED">
              <w:tc>
                <w:tcPr>
                  <w:tcW w:w="1271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AC3995" w:rsidRPr="00E339A0" w:rsidTr="00DB38ED">
              <w:tc>
                <w:tcPr>
                  <w:tcW w:w="1271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AC3995" w:rsidRPr="00E339A0" w:rsidRDefault="00AC3995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AC3995" w:rsidRPr="00E339A0" w:rsidRDefault="00AC3995" w:rsidP="00DB38ED">
            <w:pPr>
              <w:pStyle w:val="Tekstpodstawowy"/>
              <w:numPr>
                <w:ilvl w:val="0"/>
                <w:numId w:val="13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AC3995" w:rsidRPr="00196B72" w:rsidRDefault="00AC3995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AC3995" w:rsidRPr="00196B72" w:rsidTr="00DB38ED">
              <w:tc>
                <w:tcPr>
                  <w:tcW w:w="5524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AC3995" w:rsidRPr="00196B72" w:rsidTr="00DB38ED">
              <w:tc>
                <w:tcPr>
                  <w:tcW w:w="5524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C3995" w:rsidRPr="00196B72" w:rsidTr="00DB38ED">
              <w:tc>
                <w:tcPr>
                  <w:tcW w:w="5524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C3995" w:rsidRPr="00196B72" w:rsidTr="00DB38ED">
              <w:tc>
                <w:tcPr>
                  <w:tcW w:w="5524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C3995" w:rsidRPr="00196B72" w:rsidTr="00DB38ED">
              <w:tc>
                <w:tcPr>
                  <w:tcW w:w="5524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C3995" w:rsidRPr="00196B72" w:rsidTr="00DB38ED">
              <w:tc>
                <w:tcPr>
                  <w:tcW w:w="5524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C3995" w:rsidRPr="00196B72" w:rsidTr="00DB38ED">
              <w:tc>
                <w:tcPr>
                  <w:tcW w:w="5524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C3995" w:rsidRPr="00196B72" w:rsidTr="00DB38ED">
              <w:tc>
                <w:tcPr>
                  <w:tcW w:w="5524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C3995" w:rsidRPr="00196B72" w:rsidRDefault="00AC399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AC3995" w:rsidRPr="00E339A0" w:rsidRDefault="00AC3995" w:rsidP="00DB38ED">
            <w:pPr>
              <w:rPr>
                <w:sz w:val="20"/>
                <w:szCs w:val="20"/>
              </w:rPr>
            </w:pPr>
          </w:p>
          <w:p w:rsidR="00AC3995" w:rsidRPr="00E339A0" w:rsidRDefault="00AC3995" w:rsidP="00DB38ED">
            <w:pPr>
              <w:rPr>
                <w:sz w:val="20"/>
                <w:szCs w:val="20"/>
              </w:rPr>
            </w:pPr>
            <w:bookmarkStart w:id="1" w:name="_Toc54014448"/>
            <w:r w:rsidRPr="00E339A0">
              <w:rPr>
                <w:sz w:val="20"/>
                <w:szCs w:val="20"/>
              </w:rPr>
              <w:t>EGZAMIN KOŃCOWY Z</w:t>
            </w:r>
            <w:r w:rsidRPr="00E339A0">
              <w:rPr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PRZEDMIOTU</w:t>
            </w:r>
            <w:bookmarkEnd w:id="1"/>
          </w:p>
          <w:p w:rsidR="00AC3995" w:rsidRPr="00E339A0" w:rsidRDefault="00AC3995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egzaminu jest uzyskanie zaliczenia z ćwiczeń/konwersatoriów w semestrach I, II i III </w:t>
            </w:r>
          </w:p>
          <w:p w:rsidR="00AC3995" w:rsidRPr="00E339A0" w:rsidRDefault="00AC3995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Egzamin </w:t>
            </w:r>
            <w:r w:rsidRPr="00E339A0">
              <w:rPr>
                <w:sz w:val="20"/>
                <w:szCs w:val="20"/>
              </w:rPr>
              <w:t xml:space="preserve">ma formę testu pisemnego (obejmuje treści z trzech semestrów), </w:t>
            </w:r>
            <w:r w:rsidRPr="00E339A0">
              <w:rPr>
                <w:iCs/>
                <w:sz w:val="20"/>
                <w:szCs w:val="20"/>
              </w:rPr>
              <w:t xml:space="preserve">test uzupełniania odpowiedzi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AC3995" w:rsidRPr="00E339A0" w:rsidRDefault="00AC3995" w:rsidP="00DB38ED">
            <w:pPr>
              <w:rPr>
                <w:b/>
                <w:bCs/>
                <w:sz w:val="20"/>
                <w:szCs w:val="20"/>
              </w:rPr>
            </w:pPr>
            <w:bookmarkStart w:id="2" w:name="_Toc54014449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2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38"/>
              <w:gridCol w:w="1209"/>
              <w:gridCol w:w="1134"/>
              <w:gridCol w:w="1134"/>
              <w:gridCol w:w="1334"/>
              <w:gridCol w:w="1401"/>
              <w:gridCol w:w="1512"/>
            </w:tblGrid>
            <w:tr w:rsidR="00AC3995" w:rsidRPr="00E339A0" w:rsidTr="00DB38ED">
              <w:tc>
                <w:tcPr>
                  <w:tcW w:w="1338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09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AC3995" w:rsidRPr="00E339A0" w:rsidTr="00DB38ED">
              <w:tc>
                <w:tcPr>
                  <w:tcW w:w="1338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09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AC3995" w:rsidRPr="00E339A0" w:rsidRDefault="00AC3995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AC3995" w:rsidRPr="00E339A0" w:rsidRDefault="00AC3995" w:rsidP="00DB38ED">
            <w:pPr>
              <w:pStyle w:val="Tekstpodstawowy"/>
              <w:numPr>
                <w:ilvl w:val="0"/>
                <w:numId w:val="13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AC3995" w:rsidRPr="00E339A0" w:rsidRDefault="00AC3995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AC3995" w:rsidRPr="00E339A0" w:rsidTr="00DB38ED">
              <w:tc>
                <w:tcPr>
                  <w:tcW w:w="2405" w:type="dxa"/>
                </w:tcPr>
                <w:p w:rsidR="00AC3995" w:rsidRPr="00E339A0" w:rsidRDefault="00AC3995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AC3995" w:rsidRPr="00E339A0" w:rsidRDefault="00AC3995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AC3995" w:rsidRPr="00E339A0" w:rsidTr="00DB38ED">
              <w:tc>
                <w:tcPr>
                  <w:tcW w:w="2405" w:type="dxa"/>
                </w:tcPr>
                <w:p w:rsidR="00AC3995" w:rsidRPr="00E339A0" w:rsidRDefault="00AC399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AC3995" w:rsidRPr="00E339A0" w:rsidRDefault="00AC399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pytania zadane studentowi przez prowadzącego zajęcia</w:t>
                  </w:r>
                </w:p>
              </w:tc>
            </w:tr>
            <w:tr w:rsidR="00AC3995" w:rsidRPr="00E339A0" w:rsidTr="00DB38ED">
              <w:tc>
                <w:tcPr>
                  <w:tcW w:w="2405" w:type="dxa"/>
                </w:tcPr>
                <w:p w:rsidR="00AC3995" w:rsidRPr="00E339A0" w:rsidRDefault="00AC399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AC3995" w:rsidRPr="00E339A0" w:rsidRDefault="00AC399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 pytania zadane studentowi</w:t>
                  </w:r>
                </w:p>
              </w:tc>
            </w:tr>
            <w:tr w:rsidR="00AC3995" w:rsidRPr="00E339A0" w:rsidTr="00DB38ED">
              <w:tc>
                <w:tcPr>
                  <w:tcW w:w="2405" w:type="dxa"/>
                </w:tcPr>
                <w:p w:rsidR="00AC3995" w:rsidRPr="00E339A0" w:rsidRDefault="00AC399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AC3995" w:rsidRPr="00E339A0" w:rsidRDefault="00AC399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pytania zadane studentowi</w:t>
                  </w:r>
                </w:p>
              </w:tc>
            </w:tr>
            <w:tr w:rsidR="00AC3995" w:rsidRPr="00E339A0" w:rsidTr="00DB38ED">
              <w:tc>
                <w:tcPr>
                  <w:tcW w:w="2405" w:type="dxa"/>
                </w:tcPr>
                <w:p w:rsidR="00AC3995" w:rsidRPr="00E339A0" w:rsidRDefault="00AC399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AC3995" w:rsidRPr="00E339A0" w:rsidRDefault="00AC399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AC3995" w:rsidRPr="00E339A0" w:rsidRDefault="00AC3995" w:rsidP="00DB38ED">
            <w:pPr>
              <w:rPr>
                <w:b/>
                <w:bCs/>
                <w:sz w:val="20"/>
                <w:szCs w:val="20"/>
              </w:rPr>
            </w:pPr>
          </w:p>
          <w:p w:rsidR="00AC3995" w:rsidRPr="00E339A0" w:rsidRDefault="00AC3995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AC3995" w:rsidRPr="00E339A0" w:rsidRDefault="00AC3995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egzamin stanowi 100% oceny końcowej z przedmiotu</w:t>
            </w:r>
            <w:r>
              <w:t>.</w:t>
            </w:r>
          </w:p>
          <w:p w:rsidR="00AC3995" w:rsidRPr="00E339A0" w:rsidRDefault="00AC3995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AC3995" w:rsidRPr="00E339A0" w:rsidRDefault="00AC399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AC3995" w:rsidRPr="00E339A0" w:rsidRDefault="00AC3995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AC3995" w:rsidRPr="00E339A0" w:rsidRDefault="00AC3995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F00D0C" w:rsidRPr="00E339A0" w:rsidTr="00F00D0C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0C" w:rsidRPr="00E339A0" w:rsidRDefault="00F00D0C" w:rsidP="00DB38ED">
            <w:pPr>
              <w:spacing w:after="120"/>
              <w:rPr>
                <w:sz w:val="20"/>
                <w:szCs w:val="20"/>
              </w:rPr>
            </w:pPr>
            <w:bookmarkStart w:id="3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3"/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1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0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6"/>
  </w:num>
  <w:num w:numId="5">
    <w:abstractNumId w:val="4"/>
  </w:num>
  <w:num w:numId="6">
    <w:abstractNumId w:val="9"/>
  </w:num>
  <w:num w:numId="7">
    <w:abstractNumId w:val="6"/>
  </w:num>
  <w:num w:numId="8">
    <w:abstractNumId w:val="14"/>
  </w:num>
  <w:num w:numId="9">
    <w:abstractNumId w:val="18"/>
  </w:num>
  <w:num w:numId="10">
    <w:abstractNumId w:val="11"/>
  </w:num>
  <w:num w:numId="11">
    <w:abstractNumId w:val="5"/>
  </w:num>
  <w:num w:numId="12">
    <w:abstractNumId w:val="17"/>
  </w:num>
  <w:num w:numId="13">
    <w:abstractNumId w:val="1"/>
  </w:num>
  <w:num w:numId="14">
    <w:abstractNumId w:val="13"/>
  </w:num>
  <w:num w:numId="15">
    <w:abstractNumId w:val="15"/>
  </w:num>
  <w:num w:numId="16">
    <w:abstractNumId w:val="3"/>
  </w:num>
  <w:num w:numId="17">
    <w:abstractNumId w:val="0"/>
  </w:num>
  <w:num w:numId="18">
    <w:abstractNumId w:val="7"/>
  </w:num>
  <w:num w:numId="19">
    <w:abstractNumId w:val="2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236D50"/>
    <w:rsid w:val="00380077"/>
    <w:rsid w:val="004C2041"/>
    <w:rsid w:val="00575FA4"/>
    <w:rsid w:val="00725AF7"/>
    <w:rsid w:val="00A372A0"/>
    <w:rsid w:val="00AC3995"/>
    <w:rsid w:val="00AF606E"/>
    <w:rsid w:val="00B5725B"/>
    <w:rsid w:val="00CA043C"/>
    <w:rsid w:val="00F0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1693</Words>
  <Characters>10163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7</cp:revision>
  <dcterms:created xsi:type="dcterms:W3CDTF">2021-01-04T09:18:00Z</dcterms:created>
  <dcterms:modified xsi:type="dcterms:W3CDTF">2022-10-14T08:58:00Z</dcterms:modified>
</cp:coreProperties>
</file>