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49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9"/>
        <w:gridCol w:w="1448"/>
        <w:gridCol w:w="950"/>
        <w:gridCol w:w="2896"/>
        <w:gridCol w:w="467"/>
        <w:gridCol w:w="830"/>
        <w:gridCol w:w="730"/>
        <w:gridCol w:w="1739"/>
        <w:gridCol w:w="1736"/>
        <w:gridCol w:w="1736"/>
        <w:gridCol w:w="1739"/>
      </w:tblGrid>
      <w:tr w:rsidR="00DC0F49" w:rsidRPr="00E339A0" w:rsidTr="000F44C5">
        <w:trPr>
          <w:gridAfter w:val="3"/>
          <w:wAfter w:w="1663" w:type="pct"/>
          <w:trHeight w:val="459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77F0AA" wp14:editId="6F5863D3">
                  <wp:extent cx="1333500" cy="751205"/>
                  <wp:effectExtent l="0" t="0" r="0" b="0"/>
                  <wp:docPr id="36" name="Obraz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DC0F49" w:rsidRPr="00E339A0" w:rsidRDefault="00DC0F49" w:rsidP="000F44C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    CYKL KSZTAŁCENIA 202</w:t>
            </w:r>
            <w:r w:rsidR="00484986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484986">
              <w:rPr>
                <w:sz w:val="20"/>
                <w:szCs w:val="20"/>
              </w:rPr>
              <w:t>4</w:t>
            </w:r>
            <w:r w:rsidRPr="00E339A0"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28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OKULISTYKA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28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28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do wyboru X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924" w:type="pct"/>
          </w:tcPr>
          <w:p w:rsidR="00DC0F49" w:rsidRPr="00E339A0" w:rsidRDefault="00DC0F49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202" w:type="pct"/>
            <w:gridSpan w:val="4"/>
          </w:tcPr>
          <w:p w:rsidR="00DC0F49" w:rsidRPr="00E339A0" w:rsidRDefault="00DC0F49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2X</w:t>
            </w:r>
            <w:r w:rsidRPr="00E339A0">
              <w:rPr>
                <w:color w:val="auto"/>
                <w:sz w:val="20"/>
                <w:szCs w:val="20"/>
              </w:rPr>
              <w:t xml:space="preserve">     3□     4□     5□     6□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34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C0F49" w:rsidRPr="007C4419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520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DC0F49" w:rsidRPr="00E339A0" w:rsidRDefault="00DC0F49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520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DC0F49" w:rsidRPr="00E339A0" w:rsidRDefault="00DC0F49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DC0F49" w:rsidRPr="00E339A0" w:rsidRDefault="00DC0F49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DC0F49" w:rsidRPr="00E339A0" w:rsidRDefault="00DC0F49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31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EF444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306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2126" w:type="pct"/>
            <w:gridSpan w:val="5"/>
          </w:tcPr>
          <w:p w:rsidR="00DC0F49" w:rsidRPr="00E339A0" w:rsidRDefault="00AD31E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053" w:type="pct"/>
            <w:gridSpan w:val="3"/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DC0F49" w:rsidRPr="00E339A0" w:rsidRDefault="00DC0F49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35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 / 50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C0F49" w:rsidRPr="00E339A0" w:rsidTr="00AD31EC">
        <w:trPr>
          <w:gridAfter w:val="3"/>
          <w:wAfter w:w="1663" w:type="pct"/>
          <w:trHeight w:val="346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DC0F49" w:rsidRPr="00E339A0" w:rsidRDefault="00DC0F49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C0F49" w:rsidRPr="00E3700B" w:rsidRDefault="00DC0F49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700B">
              <w:rPr>
                <w:sz w:val="20"/>
                <w:szCs w:val="20"/>
              </w:rPr>
              <w:t>e-learning,</w:t>
            </w:r>
          </w:p>
          <w:p w:rsidR="00DC0F49" w:rsidRPr="00E339A0" w:rsidRDefault="00DC0F49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DC0F49" w:rsidRPr="00E339A0" w:rsidRDefault="00DC0F49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 przypadków, metoda sytuacyjna, metoda inscenizacji, dyskusja dydaktyczna, metoda projektu).</w:t>
            </w:r>
          </w:p>
        </w:tc>
      </w:tr>
      <w:tr w:rsidR="00DC0F49" w:rsidRPr="00E339A0" w:rsidTr="00AD31EC">
        <w:trPr>
          <w:gridAfter w:val="3"/>
          <w:wAfter w:w="1663" w:type="pct"/>
          <w:trHeight w:val="346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C0F49" w:rsidRPr="00E339A0" w:rsidRDefault="00DC0F49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Przedstawienie stanów nagłych w okulistyce. </w:t>
            </w:r>
          </w:p>
          <w:p w:rsidR="00DC0F49" w:rsidRPr="00E339A0" w:rsidRDefault="00DC0F49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Rozpoznawanie objawów najczęstszych chorób oczu. </w:t>
            </w:r>
          </w:p>
        </w:tc>
      </w:tr>
      <w:tr w:rsidR="00DC0F49" w:rsidRPr="00E339A0" w:rsidTr="00AD31EC">
        <w:trPr>
          <w:gridAfter w:val="3"/>
          <w:wAfter w:w="1663" w:type="pct"/>
          <w:trHeight w:val="346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DC0F49" w:rsidRPr="00E339A0" w:rsidRDefault="00DC0F49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C0F49" w:rsidRPr="00E339A0" w:rsidRDefault="00DC0F49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DC0F49" w:rsidRPr="00E339A0" w:rsidTr="000F44C5">
        <w:trPr>
          <w:gridAfter w:val="3"/>
          <w:wAfter w:w="1663" w:type="pct"/>
          <w:trHeight w:val="416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289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49" w:rsidRPr="00E339A0" w:rsidRDefault="00DC0F49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Anatomia, fizjologia, patofizjologia, farmakologia - opanowanie efektów uczenia się w zakresie wiedzy, umiejętności, kompetencji społecznych z poprzednich lat studiów.</w:t>
            </w:r>
          </w:p>
        </w:tc>
      </w:tr>
      <w:tr w:rsidR="00DC0F49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trHeight w:val="411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0F49" w:rsidRPr="00E339A0" w:rsidRDefault="00DC0F49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DC0F49" w:rsidRPr="00E339A0" w:rsidRDefault="00DC0F49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DC0F49" w:rsidRPr="00E339A0" w:rsidRDefault="00DC0F49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B.W13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projekt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B.W15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projekt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i oceny stanu zdrowia pacjenta w ramach udzielania porad pielęgniarskich.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projekt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K.2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 i samoocena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  <w:tc>
          <w:tcPr>
            <w:tcW w:w="554" w:type="pct"/>
          </w:tcPr>
          <w:p w:rsidR="00DC0F49" w:rsidRPr="00E339A0" w:rsidRDefault="00DC0F49" w:rsidP="000F44C5">
            <w:pPr>
              <w:spacing w:after="160" w:line="259" w:lineRule="auto"/>
            </w:pPr>
          </w:p>
        </w:tc>
        <w:tc>
          <w:tcPr>
            <w:tcW w:w="554" w:type="pct"/>
          </w:tcPr>
          <w:p w:rsidR="00DC0F49" w:rsidRPr="00E339A0" w:rsidRDefault="00DC0F49" w:rsidP="000F44C5">
            <w:pPr>
              <w:spacing w:after="160" w:line="259" w:lineRule="auto"/>
            </w:pPr>
          </w:p>
        </w:tc>
        <w:tc>
          <w:tcPr>
            <w:tcW w:w="555" w:type="pct"/>
          </w:tcPr>
          <w:p w:rsidR="00DC0F49" w:rsidRPr="00E339A0" w:rsidRDefault="00DC0F49" w:rsidP="000F44C5">
            <w:pPr>
              <w:spacing w:after="160" w:line="259" w:lineRule="auto"/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8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DC0F49" w:rsidRPr="00E339A0" w:rsidRDefault="00DC0F49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DC0F49" w:rsidRPr="00E339A0" w:rsidRDefault="00DC0F49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DC0F49" w:rsidRPr="00E339A0" w:rsidRDefault="00DC0F49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DC0F49" w:rsidRPr="00E339A0" w:rsidTr="000F44C5">
        <w:trPr>
          <w:gridAfter w:val="3"/>
          <w:wAfter w:w="1663" w:type="pct"/>
          <w:trHeight w:val="405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DC0F49" w:rsidRPr="007C4419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7C4419" w:rsidRDefault="00DC0F49" w:rsidP="000F44C5">
            <w:pPr>
              <w:pStyle w:val="Default"/>
              <w:rPr>
                <w:b/>
                <w:color w:val="auto"/>
                <w:sz w:val="20"/>
                <w:szCs w:val="20"/>
                <w:lang w:val="en-GB"/>
              </w:rPr>
            </w:pPr>
            <w:proofErr w:type="spellStart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>Wykłady</w:t>
            </w:r>
            <w:proofErr w:type="spellEnd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 xml:space="preserve"> -e-learning, </w:t>
            </w:r>
            <w:proofErr w:type="spellStart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>semestr</w:t>
            </w:r>
            <w:proofErr w:type="spellEnd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 xml:space="preserve"> II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7C4419" w:rsidRDefault="00DC0F49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7C4419" w:rsidRDefault="00DC0F49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49" w:rsidRPr="00E339A0" w:rsidRDefault="00DC0F49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Podstawowe badania diagnostyczne narządu wzroku.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49" w:rsidRPr="00E339A0" w:rsidRDefault="00DC0F49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49" w:rsidRPr="00E339A0" w:rsidRDefault="00DC0F49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</w:t>
            </w:r>
            <w:r>
              <w:rPr>
                <w:b/>
                <w:bCs/>
                <w:color w:val="auto"/>
                <w:sz w:val="20"/>
                <w:szCs w:val="20"/>
              </w:rPr>
              <w:t>, semestr II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Zespół suchego oka. Schorzenia rogówki, twardówki i soczewki. Schorzenia błony naczyniowej, ciała szklistego, siatkówki i nerwu wzrokowego. Przyczyny, objawy, diagnostyka i leczenie.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Powikłania w narządzie wzroku w przebiegu schorzeń ogólnych.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Stany ostre w okulistyce. Urazy narządu wzroku. Ochrona gałki ocznej u chorych nieprzytomnych. Przyczyny, objawy, diagnostyka i leczenie.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Pierwsza pomoc w urazach narządu wzroku.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Praca pielęgniarki na oddziale okulistycznym.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i uzupełnienie wiedzy z zakresu okulistyki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35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405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Literatura podstawowa:  </w:t>
            </w:r>
          </w:p>
          <w:p w:rsidR="00DC0F49" w:rsidRPr="00A56AF9" w:rsidRDefault="00DC0F49" w:rsidP="00DC0F49">
            <w:pPr>
              <w:pStyle w:val="Akapitzlist"/>
              <w:numPr>
                <w:ilvl w:val="1"/>
                <w:numId w:val="46"/>
              </w:numPr>
              <w:rPr>
                <w:sz w:val="20"/>
                <w:szCs w:val="20"/>
              </w:rPr>
            </w:pPr>
            <w:r w:rsidRPr="00A56AF9">
              <w:rPr>
                <w:sz w:val="20"/>
                <w:szCs w:val="20"/>
              </w:rPr>
              <w:t xml:space="preserve">Bowling B., </w:t>
            </w:r>
            <w:proofErr w:type="spellStart"/>
            <w:r w:rsidRPr="00A56AF9">
              <w:rPr>
                <w:sz w:val="20"/>
                <w:szCs w:val="20"/>
              </w:rPr>
              <w:t>Kanski</w:t>
            </w:r>
            <w:proofErr w:type="spellEnd"/>
            <w:r w:rsidRPr="00A56AF9">
              <w:rPr>
                <w:sz w:val="20"/>
                <w:szCs w:val="20"/>
              </w:rPr>
              <w:t xml:space="preserve"> J. J., </w:t>
            </w:r>
            <w:r w:rsidRPr="00A56AF9">
              <w:rPr>
                <w:i/>
                <w:iCs/>
                <w:sz w:val="20"/>
                <w:szCs w:val="20"/>
              </w:rPr>
              <w:t>Okulistyka kliniczna</w:t>
            </w:r>
            <w:r w:rsidR="007C4419">
              <w:rPr>
                <w:sz w:val="20"/>
                <w:szCs w:val="20"/>
              </w:rPr>
              <w:t xml:space="preserve">, </w:t>
            </w:r>
            <w:proofErr w:type="spellStart"/>
            <w:r w:rsidR="007C4419">
              <w:rPr>
                <w:sz w:val="20"/>
                <w:szCs w:val="20"/>
              </w:rPr>
              <w:t>Edra</w:t>
            </w:r>
            <w:proofErr w:type="spellEnd"/>
            <w:r w:rsidR="007C4419">
              <w:rPr>
                <w:sz w:val="20"/>
                <w:szCs w:val="20"/>
              </w:rPr>
              <w:t xml:space="preserve"> Urban &amp; Partner, Wrocław 2017</w:t>
            </w:r>
            <w:r w:rsidRPr="00A56AF9">
              <w:rPr>
                <w:sz w:val="20"/>
                <w:szCs w:val="20"/>
              </w:rPr>
              <w:t>.</w:t>
            </w:r>
          </w:p>
          <w:p w:rsidR="00DC0F49" w:rsidRPr="00A56AF9" w:rsidRDefault="00DC0F49" w:rsidP="00DC0F49">
            <w:pPr>
              <w:pStyle w:val="Akapitzlist"/>
              <w:numPr>
                <w:ilvl w:val="1"/>
                <w:numId w:val="46"/>
              </w:numPr>
              <w:rPr>
                <w:sz w:val="20"/>
                <w:szCs w:val="20"/>
              </w:rPr>
            </w:pPr>
            <w:r w:rsidRPr="00A56AF9">
              <w:rPr>
                <w:sz w:val="20"/>
                <w:szCs w:val="20"/>
              </w:rPr>
              <w:t xml:space="preserve">Figurska M., Rękas M., </w:t>
            </w:r>
            <w:r w:rsidRPr="00A56AF9">
              <w:rPr>
                <w:i/>
                <w:sz w:val="20"/>
                <w:szCs w:val="20"/>
              </w:rPr>
              <w:t>Stany nagłe – okulistyka</w:t>
            </w:r>
            <w:r w:rsidRPr="00A56AF9">
              <w:rPr>
                <w:sz w:val="20"/>
                <w:szCs w:val="20"/>
              </w:rPr>
              <w:t xml:space="preserve">, </w:t>
            </w:r>
            <w:proofErr w:type="spellStart"/>
            <w:r w:rsidRPr="00A56AF9">
              <w:rPr>
                <w:sz w:val="20"/>
                <w:szCs w:val="20"/>
              </w:rPr>
              <w:t>Medic</w:t>
            </w:r>
            <w:r w:rsidR="007C4419">
              <w:rPr>
                <w:sz w:val="20"/>
                <w:szCs w:val="20"/>
              </w:rPr>
              <w:t>al</w:t>
            </w:r>
            <w:proofErr w:type="spellEnd"/>
            <w:r w:rsidR="007C4419">
              <w:rPr>
                <w:sz w:val="20"/>
                <w:szCs w:val="20"/>
              </w:rPr>
              <w:t xml:space="preserve"> Tribune Polska, Warszawa 2022</w:t>
            </w:r>
            <w:r w:rsidRPr="00A56AF9">
              <w:rPr>
                <w:sz w:val="20"/>
                <w:szCs w:val="20"/>
              </w:rPr>
              <w:t>.</w:t>
            </w:r>
          </w:p>
          <w:p w:rsidR="00DC0F49" w:rsidRPr="00A56AF9" w:rsidRDefault="00DC0F49" w:rsidP="00DC0F49">
            <w:pPr>
              <w:pStyle w:val="Akapitzlist"/>
              <w:numPr>
                <w:ilvl w:val="1"/>
                <w:numId w:val="46"/>
              </w:numPr>
              <w:rPr>
                <w:sz w:val="20"/>
                <w:szCs w:val="20"/>
              </w:rPr>
            </w:pPr>
            <w:proofErr w:type="spellStart"/>
            <w:r w:rsidRPr="00A56AF9">
              <w:rPr>
                <w:sz w:val="20"/>
                <w:szCs w:val="20"/>
              </w:rPr>
              <w:t>Niżankowska</w:t>
            </w:r>
            <w:proofErr w:type="spellEnd"/>
            <w:r w:rsidRPr="00A56AF9">
              <w:rPr>
                <w:sz w:val="20"/>
                <w:szCs w:val="20"/>
              </w:rPr>
              <w:t xml:space="preserve"> M., </w:t>
            </w:r>
            <w:r w:rsidRPr="00A56AF9">
              <w:rPr>
                <w:i/>
                <w:iCs/>
                <w:sz w:val="20"/>
                <w:szCs w:val="20"/>
              </w:rPr>
              <w:t>Okulistyka. Podstawy kliniczne</w:t>
            </w:r>
            <w:r w:rsidRPr="00A56AF9">
              <w:rPr>
                <w:sz w:val="20"/>
                <w:szCs w:val="20"/>
              </w:rPr>
              <w:t>, PZWL, Warszawa 2010.</w:t>
            </w:r>
          </w:p>
          <w:p w:rsidR="00DC0F49" w:rsidRPr="00A56AF9" w:rsidRDefault="00DC0F49" w:rsidP="000F44C5">
            <w:pPr>
              <w:rPr>
                <w:b/>
                <w:sz w:val="20"/>
                <w:szCs w:val="20"/>
              </w:rPr>
            </w:pPr>
            <w:r w:rsidRPr="00A56AF9">
              <w:rPr>
                <w:b/>
                <w:sz w:val="20"/>
                <w:szCs w:val="20"/>
              </w:rPr>
              <w:t>Literatura uzupełniająca:</w:t>
            </w:r>
          </w:p>
          <w:p w:rsidR="00DC0F49" w:rsidRDefault="00DC0F49" w:rsidP="00DC0F49">
            <w:pPr>
              <w:pStyle w:val="Akapitzlist"/>
              <w:numPr>
                <w:ilvl w:val="1"/>
                <w:numId w:val="4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Bradford</w:t>
            </w:r>
            <w:proofErr w:type="spellEnd"/>
            <w:r>
              <w:rPr>
                <w:sz w:val="20"/>
                <w:szCs w:val="20"/>
              </w:rPr>
              <w:t xml:space="preserve"> C.,</w:t>
            </w:r>
            <w:r w:rsidRPr="00A56AF9">
              <w:rPr>
                <w:sz w:val="20"/>
                <w:szCs w:val="20"/>
              </w:rPr>
              <w:t xml:space="preserve"> </w:t>
            </w:r>
            <w:r w:rsidRPr="00A56AF9">
              <w:rPr>
                <w:i/>
                <w:sz w:val="20"/>
                <w:szCs w:val="20"/>
              </w:rPr>
              <w:t>Okulistyka</w:t>
            </w:r>
            <w:r w:rsidR="007C4419">
              <w:rPr>
                <w:sz w:val="20"/>
                <w:szCs w:val="20"/>
              </w:rPr>
              <w:t xml:space="preserve">, </w:t>
            </w:r>
            <w:proofErr w:type="spellStart"/>
            <w:r w:rsidR="007C4419">
              <w:rPr>
                <w:sz w:val="20"/>
                <w:szCs w:val="20"/>
              </w:rPr>
              <w:t>Edra</w:t>
            </w:r>
            <w:proofErr w:type="spellEnd"/>
            <w:r w:rsidR="007C4419"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Urban</w:t>
            </w:r>
            <w:r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&amp;</w:t>
            </w:r>
            <w:r>
              <w:rPr>
                <w:sz w:val="20"/>
                <w:szCs w:val="20"/>
              </w:rPr>
              <w:t xml:space="preserve"> Partner, </w:t>
            </w:r>
            <w:r w:rsidRPr="00A56AF9">
              <w:rPr>
                <w:sz w:val="20"/>
                <w:szCs w:val="20"/>
              </w:rPr>
              <w:t>Wrocław 2006.</w:t>
            </w:r>
          </w:p>
          <w:p w:rsidR="00DC0F49" w:rsidRPr="00A56AF9" w:rsidRDefault="00DC0F49" w:rsidP="00DC0F49">
            <w:pPr>
              <w:pStyle w:val="Akapitzlist"/>
              <w:numPr>
                <w:ilvl w:val="1"/>
                <w:numId w:val="4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Nolte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r w:rsidRPr="00A56AF9">
              <w:rPr>
                <w:sz w:val="20"/>
                <w:szCs w:val="20"/>
              </w:rPr>
              <w:t xml:space="preserve"> </w:t>
            </w:r>
            <w:r w:rsidRPr="00A56AF9">
              <w:rPr>
                <w:i/>
                <w:sz w:val="20"/>
                <w:szCs w:val="20"/>
              </w:rPr>
              <w:t>Mózg człowieka</w:t>
            </w:r>
            <w:r>
              <w:rPr>
                <w:sz w:val="20"/>
                <w:szCs w:val="20"/>
              </w:rPr>
              <w:t xml:space="preserve">, t. I, II, </w:t>
            </w:r>
            <w:proofErr w:type="spellStart"/>
            <w:r w:rsidR="007C4419">
              <w:rPr>
                <w:sz w:val="20"/>
                <w:szCs w:val="20"/>
              </w:rPr>
              <w:t>Edra</w:t>
            </w:r>
            <w:proofErr w:type="spellEnd"/>
            <w:r w:rsidR="007C4419"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Urban</w:t>
            </w:r>
            <w:r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&amp;</w:t>
            </w:r>
            <w:r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Partner</w:t>
            </w:r>
            <w:r>
              <w:rPr>
                <w:sz w:val="20"/>
                <w:szCs w:val="20"/>
              </w:rPr>
              <w:t>,</w:t>
            </w:r>
            <w:r w:rsidRPr="00A56AF9">
              <w:rPr>
                <w:sz w:val="20"/>
                <w:szCs w:val="20"/>
              </w:rPr>
              <w:t xml:space="preserve"> Wrocław 2011.</w:t>
            </w:r>
          </w:p>
          <w:p w:rsidR="00DC0F49" w:rsidRPr="00A56AF9" w:rsidRDefault="00DC0F49" w:rsidP="00DC0F49">
            <w:pPr>
              <w:pStyle w:val="Akapitzlist"/>
              <w:numPr>
                <w:ilvl w:val="1"/>
                <w:numId w:val="46"/>
              </w:numPr>
              <w:rPr>
                <w:sz w:val="20"/>
                <w:szCs w:val="20"/>
              </w:rPr>
            </w:pPr>
            <w:proofErr w:type="spellStart"/>
            <w:r w:rsidRPr="00A56AF9">
              <w:rPr>
                <w:sz w:val="20"/>
                <w:szCs w:val="20"/>
              </w:rPr>
              <w:t>Ped</w:t>
            </w:r>
            <w:r>
              <w:rPr>
                <w:sz w:val="20"/>
                <w:szCs w:val="20"/>
              </w:rPr>
              <w:t>ley</w:t>
            </w:r>
            <w:proofErr w:type="spellEnd"/>
            <w:r>
              <w:rPr>
                <w:sz w:val="20"/>
                <w:szCs w:val="20"/>
              </w:rPr>
              <w:t xml:space="preserve"> T. A., </w:t>
            </w:r>
            <w:r w:rsidRPr="00A56AF9">
              <w:rPr>
                <w:sz w:val="20"/>
                <w:szCs w:val="20"/>
              </w:rPr>
              <w:t>Rowland L.</w:t>
            </w:r>
            <w:r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 xml:space="preserve">P., </w:t>
            </w:r>
            <w:r>
              <w:rPr>
                <w:sz w:val="20"/>
                <w:szCs w:val="20"/>
              </w:rPr>
              <w:t xml:space="preserve">Neurologia </w:t>
            </w:r>
            <w:proofErr w:type="spellStart"/>
            <w:r>
              <w:rPr>
                <w:sz w:val="20"/>
                <w:szCs w:val="20"/>
              </w:rPr>
              <w:t>Merritta</w:t>
            </w:r>
            <w:proofErr w:type="spellEnd"/>
            <w:r>
              <w:rPr>
                <w:sz w:val="20"/>
                <w:szCs w:val="20"/>
              </w:rPr>
              <w:t xml:space="preserve">, t. I-III, </w:t>
            </w:r>
            <w:proofErr w:type="spellStart"/>
            <w:r w:rsidR="007C4419">
              <w:rPr>
                <w:sz w:val="20"/>
                <w:szCs w:val="20"/>
              </w:rPr>
              <w:t>Edra</w:t>
            </w:r>
            <w:proofErr w:type="spellEnd"/>
            <w:r w:rsidR="007C4419"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Urban</w:t>
            </w:r>
            <w:r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&amp;</w:t>
            </w:r>
            <w:r>
              <w:rPr>
                <w:sz w:val="20"/>
                <w:szCs w:val="20"/>
              </w:rPr>
              <w:t xml:space="preserve"> </w:t>
            </w:r>
            <w:r w:rsidRPr="00A56AF9">
              <w:rPr>
                <w:sz w:val="20"/>
                <w:szCs w:val="20"/>
              </w:rPr>
              <w:t>Partner</w:t>
            </w:r>
            <w:r>
              <w:rPr>
                <w:sz w:val="20"/>
                <w:szCs w:val="20"/>
              </w:rPr>
              <w:t>,</w:t>
            </w:r>
            <w:r w:rsidRPr="00A56AF9">
              <w:rPr>
                <w:sz w:val="20"/>
                <w:szCs w:val="20"/>
              </w:rPr>
              <w:t xml:space="preserve"> Wrocław 2012.</w:t>
            </w:r>
          </w:p>
        </w:tc>
      </w:tr>
      <w:tr w:rsidR="00DC0F49" w:rsidRPr="00E339A0" w:rsidTr="000F44C5">
        <w:trPr>
          <w:gridAfter w:val="3"/>
          <w:wAfter w:w="1663" w:type="pct"/>
          <w:trHeight w:val="32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C0F49" w:rsidRPr="00E339A0" w:rsidTr="000F44C5">
        <w:trPr>
          <w:gridAfter w:val="3"/>
          <w:wAfter w:w="1663" w:type="pct"/>
          <w:trHeight w:val="50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DC0F49" w:rsidRPr="00E339A0" w:rsidRDefault="00DC0F49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</w:t>
            </w:r>
            <w:r>
              <w:rPr>
                <w:sz w:val="20"/>
                <w:szCs w:val="20"/>
              </w:rPr>
              <w:t xml:space="preserve"> (e-learning)</w:t>
            </w:r>
            <w:r w:rsidRPr="00E339A0">
              <w:rPr>
                <w:sz w:val="20"/>
                <w:szCs w:val="20"/>
              </w:rPr>
              <w:t xml:space="preserve"> i ćwiczenia (kolokwium)</w:t>
            </w:r>
          </w:p>
          <w:p w:rsidR="00DC0F49" w:rsidRPr="00E339A0" w:rsidRDefault="00DC0F49" w:rsidP="000F44C5">
            <w:pPr>
              <w:rPr>
                <w:b/>
                <w:bCs/>
                <w:sz w:val="20"/>
                <w:szCs w:val="20"/>
              </w:rPr>
            </w:pPr>
          </w:p>
          <w:p w:rsidR="00DC0F49" w:rsidRPr="00E339A0" w:rsidRDefault="00DC0F49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DC0F49" w:rsidRPr="00E339A0" w:rsidRDefault="00DC0F49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 i ćwiczenia: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DC0F49" w:rsidRPr="00E339A0" w:rsidRDefault="00DC0F49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DC0F49" w:rsidRPr="00E339A0" w:rsidRDefault="00DC0F49" w:rsidP="00DC0F49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obecność 100%; potwierdzona wpisem na liście obecności,</w:t>
            </w:r>
          </w:p>
          <w:p w:rsidR="00DC0F49" w:rsidRPr="00E339A0" w:rsidRDefault="00DC0F49" w:rsidP="00DC0F49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DC0F49" w:rsidRPr="00E339A0" w:rsidRDefault="00DC0F49" w:rsidP="00DC0F49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na ćwiczeniach (włączanie się do dyskusji inicjowanej przez wykładowcę, przejawianie zainteresowania zagadnieniami omawianymi w trakcie wykładu),</w:t>
            </w:r>
          </w:p>
          <w:p w:rsidR="00DC0F49" w:rsidRPr="00E339A0" w:rsidRDefault="00DC0F49" w:rsidP="00DC0F49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</w:p>
          <w:p w:rsidR="00DC0F49" w:rsidRPr="00E339A0" w:rsidRDefault="00DC0F49" w:rsidP="000F44C5">
            <w:pPr>
              <w:rPr>
                <w:sz w:val="20"/>
                <w:szCs w:val="20"/>
              </w:rPr>
            </w:pPr>
          </w:p>
          <w:p w:rsidR="00DC0F49" w:rsidRPr="00E339A0" w:rsidRDefault="00DC0F49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DC0F49" w:rsidRPr="00E339A0" w:rsidRDefault="00DC0F49" w:rsidP="00DC0F49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DC0F49" w:rsidRPr="00E339A0" w:rsidRDefault="00DC0F49" w:rsidP="000F44C5">
            <w:pPr>
              <w:rPr>
                <w:b/>
                <w:bCs/>
                <w:sz w:val="20"/>
                <w:szCs w:val="20"/>
              </w:rPr>
            </w:pPr>
            <w:bookmarkStart w:id="0" w:name="_Toc54014514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0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209"/>
              <w:gridCol w:w="1134"/>
              <w:gridCol w:w="1134"/>
              <w:gridCol w:w="1334"/>
              <w:gridCol w:w="1401"/>
              <w:gridCol w:w="1512"/>
            </w:tblGrid>
            <w:tr w:rsidR="00DC0F49" w:rsidRPr="00E339A0" w:rsidTr="000F44C5">
              <w:tc>
                <w:tcPr>
                  <w:tcW w:w="1338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09" w:type="dxa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DC0F49" w:rsidRPr="00E339A0" w:rsidTr="000F44C5">
              <w:tc>
                <w:tcPr>
                  <w:tcW w:w="1338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09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DC0F49" w:rsidRPr="00E339A0" w:rsidRDefault="00DC0F49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DC0F49" w:rsidRPr="00E339A0" w:rsidRDefault="00DC0F49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DC0F49" w:rsidRPr="00E339A0" w:rsidRDefault="00DC0F49" w:rsidP="00DC0F49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DC0F49" w:rsidRPr="00E339A0" w:rsidRDefault="00DC0F49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DC0F49" w:rsidRPr="00E339A0" w:rsidRDefault="00DC0F49" w:rsidP="000F44C5">
            <w:pPr>
              <w:rPr>
                <w:b/>
                <w:bCs/>
                <w:sz w:val="20"/>
                <w:szCs w:val="20"/>
              </w:rPr>
            </w:pPr>
          </w:p>
          <w:p w:rsidR="00DC0F49" w:rsidRPr="00E3700B" w:rsidRDefault="00DC0F49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Ocena końcowa z przedmiotu – </w:t>
            </w:r>
            <w:r w:rsidRPr="00E3700B">
              <w:rPr>
                <w:bCs/>
                <w:sz w:val="20"/>
                <w:szCs w:val="20"/>
              </w:rPr>
              <w:t>równa się ocenie z kolokwium.</w:t>
            </w:r>
          </w:p>
          <w:p w:rsidR="00DC0F49" w:rsidRPr="00E339A0" w:rsidRDefault="00DC0F49" w:rsidP="000F44C5">
            <w:pPr>
              <w:rPr>
                <w:b/>
                <w:bCs/>
                <w:sz w:val="20"/>
                <w:szCs w:val="20"/>
              </w:rPr>
            </w:pPr>
          </w:p>
          <w:p w:rsidR="00DC0F49" w:rsidRPr="00E339A0" w:rsidRDefault="00DC0F49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DC0F49" w:rsidRPr="00E339A0" w:rsidRDefault="00DC0F49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DC0F49" w:rsidRPr="00E339A0" w:rsidRDefault="00DC0F49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AD31EC" w:rsidRPr="00E339A0" w:rsidTr="00AD31EC">
        <w:trPr>
          <w:gridAfter w:val="3"/>
          <w:wAfter w:w="1663" w:type="pct"/>
          <w:trHeight w:val="43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C" w:rsidRPr="00E339A0" w:rsidRDefault="00AD31EC" w:rsidP="000F44C5">
            <w:pPr>
              <w:spacing w:after="120"/>
              <w:rPr>
                <w:sz w:val="20"/>
                <w:szCs w:val="20"/>
              </w:rPr>
            </w:pPr>
            <w:bookmarkStart w:id="1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1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77FFA"/>
    <w:multiLevelType w:val="hybridMultilevel"/>
    <w:tmpl w:val="FDFA26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E44FF3"/>
    <w:multiLevelType w:val="hybridMultilevel"/>
    <w:tmpl w:val="A0903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A4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6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0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361AF"/>
    <w:multiLevelType w:val="hybridMultilevel"/>
    <w:tmpl w:val="766C81D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1028DE"/>
    <w:multiLevelType w:val="hybridMultilevel"/>
    <w:tmpl w:val="FD2A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39"/>
  </w:num>
  <w:num w:numId="5">
    <w:abstractNumId w:val="11"/>
  </w:num>
  <w:num w:numId="6">
    <w:abstractNumId w:val="16"/>
  </w:num>
  <w:num w:numId="7">
    <w:abstractNumId w:val="12"/>
  </w:num>
  <w:num w:numId="8">
    <w:abstractNumId w:val="42"/>
  </w:num>
  <w:num w:numId="9">
    <w:abstractNumId w:val="32"/>
  </w:num>
  <w:num w:numId="10">
    <w:abstractNumId w:val="41"/>
  </w:num>
  <w:num w:numId="11">
    <w:abstractNumId w:val="6"/>
  </w:num>
  <w:num w:numId="12">
    <w:abstractNumId w:val="22"/>
  </w:num>
  <w:num w:numId="13">
    <w:abstractNumId w:val="27"/>
  </w:num>
  <w:num w:numId="14">
    <w:abstractNumId w:val="26"/>
  </w:num>
  <w:num w:numId="15">
    <w:abstractNumId w:val="44"/>
  </w:num>
  <w:num w:numId="16">
    <w:abstractNumId w:val="25"/>
  </w:num>
  <w:num w:numId="17">
    <w:abstractNumId w:val="28"/>
  </w:num>
  <w:num w:numId="18">
    <w:abstractNumId w:val="3"/>
  </w:num>
  <w:num w:numId="19">
    <w:abstractNumId w:val="1"/>
  </w:num>
  <w:num w:numId="20">
    <w:abstractNumId w:val="15"/>
  </w:num>
  <w:num w:numId="21">
    <w:abstractNumId w:val="45"/>
  </w:num>
  <w:num w:numId="22">
    <w:abstractNumId w:val="18"/>
  </w:num>
  <w:num w:numId="23">
    <w:abstractNumId w:val="10"/>
  </w:num>
  <w:num w:numId="24">
    <w:abstractNumId w:val="43"/>
  </w:num>
  <w:num w:numId="25">
    <w:abstractNumId w:val="35"/>
  </w:num>
  <w:num w:numId="26">
    <w:abstractNumId w:val="5"/>
  </w:num>
  <w:num w:numId="27">
    <w:abstractNumId w:val="36"/>
  </w:num>
  <w:num w:numId="28">
    <w:abstractNumId w:val="20"/>
  </w:num>
  <w:num w:numId="29">
    <w:abstractNumId w:val="24"/>
  </w:num>
  <w:num w:numId="30">
    <w:abstractNumId w:val="33"/>
  </w:num>
  <w:num w:numId="31">
    <w:abstractNumId w:val="14"/>
  </w:num>
  <w:num w:numId="32">
    <w:abstractNumId w:val="30"/>
  </w:num>
  <w:num w:numId="33">
    <w:abstractNumId w:val="4"/>
  </w:num>
  <w:num w:numId="34">
    <w:abstractNumId w:val="40"/>
  </w:num>
  <w:num w:numId="35">
    <w:abstractNumId w:val="0"/>
  </w:num>
  <w:num w:numId="36">
    <w:abstractNumId w:val="34"/>
  </w:num>
  <w:num w:numId="37">
    <w:abstractNumId w:val="29"/>
  </w:num>
  <w:num w:numId="38">
    <w:abstractNumId w:val="38"/>
  </w:num>
  <w:num w:numId="39">
    <w:abstractNumId w:val="9"/>
  </w:num>
  <w:num w:numId="40">
    <w:abstractNumId w:val="23"/>
  </w:num>
  <w:num w:numId="41">
    <w:abstractNumId w:val="17"/>
  </w:num>
  <w:num w:numId="42">
    <w:abstractNumId w:val="2"/>
  </w:num>
  <w:num w:numId="43">
    <w:abstractNumId w:val="37"/>
  </w:num>
  <w:num w:numId="44">
    <w:abstractNumId w:val="31"/>
  </w:num>
  <w:num w:numId="45">
    <w:abstractNumId w:val="8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3790"/>
    <w:rsid w:val="001E499E"/>
    <w:rsid w:val="00274877"/>
    <w:rsid w:val="003152AB"/>
    <w:rsid w:val="00380077"/>
    <w:rsid w:val="00484986"/>
    <w:rsid w:val="00524090"/>
    <w:rsid w:val="00662C1F"/>
    <w:rsid w:val="00736963"/>
    <w:rsid w:val="007B47A2"/>
    <w:rsid w:val="007C4419"/>
    <w:rsid w:val="0083299D"/>
    <w:rsid w:val="008C0F4E"/>
    <w:rsid w:val="008F4DFE"/>
    <w:rsid w:val="00937D2F"/>
    <w:rsid w:val="00963548"/>
    <w:rsid w:val="009A599A"/>
    <w:rsid w:val="00A0394B"/>
    <w:rsid w:val="00A362BD"/>
    <w:rsid w:val="00A953A7"/>
    <w:rsid w:val="00AB6E12"/>
    <w:rsid w:val="00AD31EC"/>
    <w:rsid w:val="00BE6228"/>
    <w:rsid w:val="00D003E8"/>
    <w:rsid w:val="00DC0F49"/>
    <w:rsid w:val="00E205CE"/>
    <w:rsid w:val="00E31006"/>
    <w:rsid w:val="00E900BD"/>
    <w:rsid w:val="00EF444C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2021-01-04T13:07:00Z</dcterms:created>
  <dcterms:modified xsi:type="dcterms:W3CDTF">2022-10-14T09:32:00Z</dcterms:modified>
</cp:coreProperties>
</file>