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0"/>
        <w:gridCol w:w="1447"/>
        <w:gridCol w:w="949"/>
        <w:gridCol w:w="2541"/>
        <w:gridCol w:w="820"/>
        <w:gridCol w:w="830"/>
        <w:gridCol w:w="732"/>
        <w:gridCol w:w="1738"/>
      </w:tblGrid>
      <w:tr w:rsidR="00441D59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4B779A4" wp14:editId="1DC266C4">
                  <wp:extent cx="1333500" cy="751205"/>
                  <wp:effectExtent l="0" t="0" r="0" b="0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441D59" w:rsidRPr="00E339A0" w:rsidRDefault="00441D59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C6D88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3C6D88">
              <w:rPr>
                <w:sz w:val="20"/>
                <w:szCs w:val="20"/>
              </w:rPr>
              <w:t>4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PORADNICTWO W PIELĘGNIARSTWIE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15" w:type="pct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 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 □      </w:t>
            </w:r>
          </w:p>
        </w:tc>
        <w:tc>
          <w:tcPr>
            <w:tcW w:w="1970" w:type="pct"/>
            <w:gridSpan w:val="4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3X</w:t>
            </w:r>
            <w:r w:rsidRPr="00E339A0">
              <w:rPr>
                <w:color w:val="auto"/>
                <w:sz w:val="20"/>
                <w:szCs w:val="20"/>
              </w:rPr>
              <w:t xml:space="preserve">    4 □      5 □     6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441D59" w:rsidRPr="007902A8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441D59" w:rsidRPr="00E339A0" w:rsidRDefault="00441D59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4F3BB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spacing w:after="60"/>
              <w:rPr>
                <w:bCs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441D59" w:rsidRPr="00E339A0" w:rsidRDefault="00441D59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58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30/88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441D59" w:rsidRPr="00E339A0" w:rsidRDefault="00441D59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sytuacyjna,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z pacjentem.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udzielania poradnictwa w zakresie pielęgniarstwa w oparciu o regulacje prawne i w zakresie posiadających uprawnień.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441D59" w:rsidRPr="00E339A0" w:rsidRDefault="00441D59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komputer.</w:t>
            </w:r>
          </w:p>
        </w:tc>
      </w:tr>
      <w:tr w:rsidR="00441D59" w:rsidRPr="00E339A0" w:rsidTr="00DB38ED">
        <w:trPr>
          <w:trHeight w:val="98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kompetencji pielęgniarskich oraz podstawowych metod oceny stanu chorego. Umiejętność opracowywania materiałów edukacyjnych dla pacjenta oraz jego rodziny.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podejmowania dyskusji w grupie. Postawa otwarta na dyskusję w grupie, nacechowana szacunkiem wobec rozmówców. Umiejętność komunikacji interpersonalnej.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41D59" w:rsidRPr="00E339A0" w:rsidRDefault="00441D59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441D59" w:rsidRPr="00E339A0" w:rsidRDefault="00441D59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B.W11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Przedstawia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założenia teoretyczne poradnictwa w pracy pielęgniarki bazujące na regulacjach prawnych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transteoretycznym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modelu zmiany (Prochaska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DiClemente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Egzamin pisemny lub ustny, projekt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Rozpoznaje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Charakteryzuje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metody oceny stanu zdrowia pacjenta w poradnictwie pielęgniarskim.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postępowania terapeutycznego w przypadku najczęstszych problemów zdrowotnych.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Omawia z</w:t>
            </w:r>
            <w:r w:rsidRPr="00E339A0">
              <w:rPr>
                <w:rFonts w:eastAsiaTheme="minorHAnsi"/>
                <w:sz w:val="20"/>
                <w:szCs w:val="20"/>
              </w:rPr>
              <w:t>asady doboru badań diagnostycznych i interpretacji, i wyników w zakresie posiadanych uprawnień zdrowotnych.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B.U11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Udziela porad osobom zagrożonym uzależnieniami i uzależnionym wykorzystując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transteoretyczny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model</w:t>
            </w:r>
            <w:r>
              <w:rPr>
                <w:rFonts w:eastAsiaTheme="minorHAnsi"/>
                <w:sz w:val="20"/>
                <w:szCs w:val="20"/>
              </w:rPr>
              <w:t xml:space="preserve"> zmian (Prochaska i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DiClemente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materiały edukacyjne dla pacjenta i jego rodziny w ramach poradnictwa zdrowotnego.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B.U15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Wykorzystuje zasoby technologiczne dla potrzeb poradnictwa zdrowotnego.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wyboru i zleca badania diagnostyczne w ramach udzielania porad pielęgniarskich.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Wdraża działanie terapeutyczne w zależności od oceny stanu pacjenta w ramach posiadanych uprawnień zawodowych.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w sam</w:t>
            </w:r>
            <w:r>
              <w:rPr>
                <w:rFonts w:eastAsiaTheme="minorHAnsi"/>
                <w:sz w:val="20"/>
                <w:szCs w:val="20"/>
              </w:rPr>
              <w:t>odzielnym rozwiązywaniu problemu.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441D59" w:rsidRPr="00E339A0" w:rsidRDefault="00441D59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441D59" w:rsidRPr="00E339A0" w:rsidRDefault="00441D59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441D59" w:rsidRPr="00E339A0" w:rsidRDefault="00441D59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441D59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lastRenderedPageBreak/>
              <w:t>Treści programowe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Założenia teoretyczne poradnictwa w pracy pielęgniarki bazujące na regulacjach prawnych.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Założenia teoretyczne poradnictwa w pracy pielęgniarki bazujące na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transteoretycznym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modelu zmiany (Prochaska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DiClemente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 oceny stanu pacjenta i post</w:t>
            </w:r>
            <w:r>
              <w:rPr>
                <w:color w:val="auto"/>
                <w:sz w:val="20"/>
                <w:szCs w:val="20"/>
              </w:rPr>
              <w:t>ę</w:t>
            </w:r>
            <w:r w:rsidRPr="00E339A0">
              <w:rPr>
                <w:color w:val="auto"/>
                <w:sz w:val="20"/>
                <w:szCs w:val="20"/>
              </w:rPr>
              <w:t>powania terapeutycznego w najczęstszych stanach chorobowych w ramach udzielanych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B.W14;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doboru i interpretacji badań diagnostycznych w zakresie posiadanych kompetencji.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B.W15;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Diagnozowanie zagrożeń zdrowotnych pacjenta z chorobą przewlekłą.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K.S2; K.S3; K.S4; K.S5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</w:t>
            </w:r>
            <w:r w:rsidRPr="00E339A0">
              <w:rPr>
                <w:color w:val="auto"/>
                <w:sz w:val="20"/>
                <w:szCs w:val="20"/>
              </w:rPr>
              <w:t>cena stanu zdrowia pacjenta w ramach udzielania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K.S2; K.S3; K.S4; K.S5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Zlecanie badań diagnostycznych w ramach udzielania porad pielęgniarskich i wdrażanie działań terapeutycznych w zależności od oceny stanu pacjenta w ramach posiadanych uprawnień zawodowych.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B.U17; B.U18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K.S2; K.S3; K.S4; K.S5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Przygotowywanie poradników i materiałów edukacyjnych dla pacjenta i jego rodziny w określonych problemach zdrowotnych.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K.S2; K.S3; K.S4; K.S5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programu edukacyjnego </w:t>
            </w:r>
            <w:r w:rsidRPr="007315F8">
              <w:rPr>
                <w:sz w:val="20"/>
                <w:szCs w:val="20"/>
              </w:rPr>
              <w:t>dla pacjentów oraz ich rodzin w wybranej</w:t>
            </w:r>
            <w:r>
              <w:rPr>
                <w:sz w:val="20"/>
                <w:szCs w:val="20"/>
              </w:rPr>
              <w:t xml:space="preserve"> </w:t>
            </w:r>
            <w:r w:rsidRPr="007315F8">
              <w:rPr>
                <w:sz w:val="20"/>
                <w:szCs w:val="20"/>
              </w:rPr>
              <w:t>jednostce chorobowej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K2; K3; K4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Udzielanie porad osobom zagrożonym uzależnieniami i uzależnionym wykorzystując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transteoretyczny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model zmian (Prochaska 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DiClemente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),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B.U13;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K.S2; K.S3; K.S4; K.S5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Przygotowania materiałów edukacyjnych dla pacjenta i jego rodziny w ramach poradnictwa zdrowotnego i udzielania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B.U14;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K.S2; K.S3; K.S4; K.S5</w:t>
            </w:r>
          </w:p>
        </w:tc>
      </w:tr>
      <w:tr w:rsidR="00441D59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441D59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Dąsala</w:t>
            </w:r>
            <w:proofErr w:type="spellEnd"/>
            <w:r w:rsidRPr="00E339A0">
              <w:rPr>
                <w:sz w:val="20"/>
                <w:szCs w:val="20"/>
              </w:rPr>
              <w:t xml:space="preserve"> M., </w:t>
            </w:r>
            <w:r>
              <w:rPr>
                <w:sz w:val="20"/>
                <w:szCs w:val="20"/>
              </w:rPr>
              <w:t>Płonka-</w:t>
            </w:r>
            <w:r w:rsidRPr="00E339A0">
              <w:rPr>
                <w:sz w:val="20"/>
                <w:szCs w:val="20"/>
              </w:rPr>
              <w:t xml:space="preserve">Syroka B., </w:t>
            </w:r>
            <w:r>
              <w:rPr>
                <w:sz w:val="20"/>
                <w:szCs w:val="20"/>
              </w:rPr>
              <w:t>Wójcik W.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sz w:val="20"/>
                <w:szCs w:val="20"/>
              </w:rPr>
              <w:t>Doradztwo, poradnictwo, wsparcie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DIG, Warszawa 2016.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Miniszewska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Bycie z chorobą. Przystosowanie do wybranych chorób somatycznych z perspektywy psychologii pozytywnej</w:t>
            </w:r>
            <w:r>
              <w:rPr>
                <w:i/>
                <w:iCs/>
                <w:sz w:val="20"/>
                <w:szCs w:val="20"/>
              </w:rPr>
              <w:t xml:space="preserve"> i</w:t>
            </w:r>
            <w:r w:rsidRPr="00E339A0">
              <w:rPr>
                <w:i/>
                <w:iCs/>
                <w:sz w:val="20"/>
                <w:szCs w:val="20"/>
              </w:rPr>
              <w:t xml:space="preserve"> koncepcji poznawczych</w:t>
            </w:r>
            <w:r w:rsidRPr="00E339A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Uniwersytet Łódzki, </w:t>
            </w:r>
            <w:r w:rsidRPr="00E339A0">
              <w:rPr>
                <w:sz w:val="20"/>
                <w:szCs w:val="20"/>
              </w:rPr>
              <w:t xml:space="preserve">Łódź, 2019. 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Diclemente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C. C., </w:t>
            </w:r>
            <w:r w:rsidRPr="00E339A0">
              <w:rPr>
                <w:sz w:val="20"/>
                <w:szCs w:val="20"/>
                <w:lang w:val="en-US"/>
              </w:rPr>
              <w:t>Norcross J.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sz w:val="20"/>
                <w:szCs w:val="20"/>
                <w:lang w:val="en-US"/>
              </w:rPr>
              <w:t>C., Prochaska J.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sz w:val="20"/>
                <w:szCs w:val="20"/>
                <w:lang w:val="en-US"/>
              </w:rPr>
              <w:t xml:space="preserve">O., (red.). </w:t>
            </w:r>
            <w:r w:rsidRPr="00E339A0">
              <w:rPr>
                <w:i/>
                <w:sz w:val="20"/>
                <w:szCs w:val="20"/>
              </w:rPr>
              <w:t>Zmiana na dobre</w:t>
            </w:r>
            <w:r w:rsidRPr="00E339A0">
              <w:rPr>
                <w:sz w:val="20"/>
                <w:szCs w:val="20"/>
              </w:rPr>
              <w:t xml:space="preserve">, Instytut </w:t>
            </w:r>
            <w:proofErr w:type="spellStart"/>
            <w:r w:rsidRPr="00E339A0">
              <w:rPr>
                <w:sz w:val="20"/>
                <w:szCs w:val="20"/>
              </w:rPr>
              <w:t>Amity</w:t>
            </w:r>
            <w:proofErr w:type="spellEnd"/>
            <w:r w:rsidRPr="00E339A0">
              <w:rPr>
                <w:sz w:val="20"/>
                <w:szCs w:val="20"/>
              </w:rPr>
              <w:t>, Warszawa 2008.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Woynarowska</w:t>
            </w:r>
            <w:proofErr w:type="spellEnd"/>
            <w:r w:rsidRPr="00E339A0">
              <w:rPr>
                <w:sz w:val="20"/>
                <w:szCs w:val="20"/>
              </w:rPr>
              <w:t xml:space="preserve"> B., </w:t>
            </w:r>
            <w:r w:rsidRPr="00E339A0">
              <w:rPr>
                <w:i/>
                <w:sz w:val="20"/>
                <w:szCs w:val="20"/>
              </w:rPr>
              <w:t>Edukacja zdrowotna. Podstawy teoretyczne, metodyka i praktyka</w:t>
            </w:r>
            <w:r w:rsidRPr="00E339A0">
              <w:rPr>
                <w:sz w:val="20"/>
                <w:szCs w:val="20"/>
              </w:rPr>
              <w:t>, PWN, Warszawa</w:t>
            </w:r>
            <w:r w:rsidR="007902A8">
              <w:rPr>
                <w:sz w:val="20"/>
                <w:szCs w:val="20"/>
              </w:rPr>
              <w:t xml:space="preserve"> 2021</w:t>
            </w:r>
            <w:r w:rsidRPr="00E339A0">
              <w:rPr>
                <w:sz w:val="20"/>
                <w:szCs w:val="20"/>
              </w:rPr>
              <w:t>.</w:t>
            </w:r>
          </w:p>
          <w:p w:rsidR="00441D59" w:rsidRPr="00E339A0" w:rsidRDefault="00441D59" w:rsidP="00DB38ED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441D59" w:rsidRDefault="00441D59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  <w:lang w:val="en-US"/>
              </w:rPr>
            </w:pPr>
            <w:r w:rsidRPr="00E339A0">
              <w:rPr>
                <w:color w:val="auto"/>
                <w:sz w:val="20"/>
                <w:szCs w:val="20"/>
                <w:lang w:val="en-US"/>
              </w:rPr>
              <w:t>Burke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B. L.,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>Butler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C.,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>Butters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R.,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Lundahl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B.,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Moleni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T.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Rollnick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S.,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Tollefson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D., </w:t>
            </w:r>
            <w:r w:rsidRPr="00E339A0">
              <w:rPr>
                <w:i/>
                <w:iCs/>
                <w:color w:val="auto"/>
                <w:sz w:val="20"/>
                <w:szCs w:val="20"/>
                <w:lang w:val="en-US"/>
              </w:rPr>
              <w:t>Motivational interviewing in medical care settings: A systematic review and meta-analysis of randomized controlled trials.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Patient 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Education and Counseling, 93/2013, s.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>157–168.</w:t>
            </w:r>
          </w:p>
          <w:p w:rsidR="00441D59" w:rsidRPr="007902A8" w:rsidRDefault="00441D59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  <w:lang w:val="en-GB"/>
              </w:rPr>
            </w:pP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Häggström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, E., </w:t>
            </w: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Kristofferzon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, M. L., </w:t>
            </w: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Östlund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, A.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S.,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Waden</w:t>
            </w:r>
            <w:r>
              <w:rPr>
                <w:color w:val="auto"/>
                <w:sz w:val="20"/>
                <w:szCs w:val="20"/>
                <w:lang w:val="en-US"/>
              </w:rPr>
              <w:t>sten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B., </w:t>
            </w:r>
            <w:r w:rsidRPr="00E339A0">
              <w:rPr>
                <w:i/>
                <w:iCs/>
                <w:color w:val="auto"/>
                <w:sz w:val="20"/>
                <w:szCs w:val="20"/>
                <w:lang w:val="en-US"/>
              </w:rPr>
              <w:t>Motivational interviewing: Experiences of primary care nurses trained in the method</w:t>
            </w:r>
            <w:r>
              <w:rPr>
                <w:color w:val="auto"/>
                <w:sz w:val="20"/>
                <w:szCs w:val="20"/>
                <w:lang w:val="en-US"/>
              </w:rPr>
              <w:t>,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Pr="007902A8">
              <w:rPr>
                <w:color w:val="auto"/>
                <w:sz w:val="20"/>
                <w:szCs w:val="20"/>
                <w:lang w:val="en-GB"/>
              </w:rPr>
              <w:t>Nurse Education in Practice, 15/2014, s. 111-118.</w:t>
            </w:r>
          </w:p>
          <w:p w:rsidR="00441D59" w:rsidRPr="007C01ED" w:rsidRDefault="00441D59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Oblacińska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Ostręga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W.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i/>
                <w:color w:val="auto"/>
                <w:sz w:val="20"/>
                <w:szCs w:val="20"/>
              </w:rPr>
              <w:t>Standardy postępowania i metodyki pracy pielęgniarki szkolnej</w:t>
            </w:r>
            <w:r w:rsidRPr="00E339A0">
              <w:rPr>
                <w:color w:val="auto"/>
                <w:sz w:val="20"/>
                <w:szCs w:val="20"/>
              </w:rPr>
              <w:t>, Instytu</w:t>
            </w:r>
            <w:r w:rsidR="007902A8">
              <w:rPr>
                <w:color w:val="auto"/>
                <w:sz w:val="20"/>
                <w:szCs w:val="20"/>
              </w:rPr>
              <w:t>t Matki i Dziecka, Warszawa 2020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</w:tr>
      <w:tr w:rsidR="00441D59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441D59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441D59" w:rsidRPr="00E339A0" w:rsidRDefault="00441D59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</w:t>
            </w:r>
          </w:p>
          <w:p w:rsidR="00441D59" w:rsidRPr="00E339A0" w:rsidRDefault="00441D59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</w:t>
            </w: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441D59" w:rsidRPr="00E339A0" w:rsidRDefault="00441D59" w:rsidP="00441D59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441D59" w:rsidRPr="00E339A0" w:rsidRDefault="00441D59" w:rsidP="00441D59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441D59" w:rsidRPr="00E339A0" w:rsidRDefault="00441D59" w:rsidP="00DB38ED">
            <w:pPr>
              <w:pStyle w:val="Nagwek3"/>
            </w:pP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 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441D59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rzygotowania materiałów edukacyjnych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</w:p>
          <w:p w:rsidR="00441D59" w:rsidRPr="002B7460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441D59" w:rsidRPr="002B7460" w:rsidRDefault="00441D59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441D59" w:rsidRPr="002E42BF" w:rsidTr="00DB38ED">
              <w:tc>
                <w:tcPr>
                  <w:tcW w:w="127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441D59" w:rsidRPr="002E42BF" w:rsidTr="00DB38ED">
              <w:tc>
                <w:tcPr>
                  <w:tcW w:w="127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441D59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441D59" w:rsidRPr="00E339A0" w:rsidRDefault="00441D59" w:rsidP="00DB38ED">
            <w:pPr>
              <w:rPr>
                <w:b/>
                <w:bCs/>
                <w:sz w:val="18"/>
                <w:szCs w:val="18"/>
              </w:rPr>
            </w:pPr>
          </w:p>
          <w:p w:rsidR="00441D59" w:rsidRPr="00B805B1" w:rsidRDefault="00441D59" w:rsidP="00DB38ED">
            <w:pPr>
              <w:pStyle w:val="Nagwek3"/>
            </w:pPr>
            <w:bookmarkStart w:id="0" w:name="_Hlk59526019"/>
            <w:bookmarkStart w:id="1" w:name="_Toc54014458"/>
            <w:r w:rsidRPr="00B805B1">
              <w:t xml:space="preserve">Kryteria oceny </w:t>
            </w:r>
            <w:r>
              <w:t>materiałów edukacyjnych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441D59" w:rsidRPr="00B805B1" w:rsidTr="00DB38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 xml:space="preserve">Ocena: </w:t>
                  </w:r>
                  <w:proofErr w:type="spellStart"/>
                  <w:r w:rsidRPr="00B805B1">
                    <w:rPr>
                      <w:b/>
                      <w:sz w:val="20"/>
                      <w:szCs w:val="20"/>
                    </w:rPr>
                    <w:t>zal</w:t>
                  </w:r>
                  <w:proofErr w:type="spellEnd"/>
                  <w:r w:rsidRPr="00B805B1">
                    <w:rPr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B805B1">
                    <w:rPr>
                      <w:b/>
                      <w:sz w:val="20"/>
                      <w:szCs w:val="20"/>
                    </w:rPr>
                    <w:t>nzal</w:t>
                  </w:r>
                  <w:proofErr w:type="spellEnd"/>
                </w:p>
              </w:tc>
            </w:tr>
            <w:tr w:rsidR="00441D59" w:rsidRPr="00B805B1" w:rsidTr="00DB38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:rsidR="00441D59" w:rsidRPr="00B805B1" w:rsidRDefault="00441D59" w:rsidP="00DB38ED">
                  <w:pPr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441D59" w:rsidRPr="00B805B1" w:rsidTr="00DB38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wBefore w:w="4568" w:type="dxa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:rsidR="00441D59" w:rsidRPr="00B805B1" w:rsidRDefault="00441D59" w:rsidP="00DB38ED">
            <w:pPr>
              <w:rPr>
                <w:bCs/>
                <w:sz w:val="16"/>
                <w:szCs w:val="16"/>
              </w:rPr>
            </w:pPr>
            <w:r w:rsidRPr="00B805B1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bookmarkEnd w:id="0"/>
          <w:p w:rsidR="00441D59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1"/>
          </w:p>
          <w:p w:rsidR="00441D59" w:rsidRPr="00E339A0" w:rsidRDefault="00441D59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wykładów, ćwiczeń.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</w:t>
            </w:r>
            <w:r w:rsidRPr="00445D1C">
              <w:rPr>
                <w:sz w:val="20"/>
                <w:szCs w:val="20"/>
              </w:rPr>
              <w:t xml:space="preserve">testu pisemnego, </w:t>
            </w:r>
            <w:r w:rsidRPr="00445D1C">
              <w:rPr>
                <w:iCs/>
                <w:sz w:val="20"/>
                <w:szCs w:val="20"/>
              </w:rPr>
              <w:t>test z jedną prawidłową odpowiedzią</w:t>
            </w:r>
            <w:r w:rsidRPr="00445D1C">
              <w:rPr>
                <w:i/>
                <w:iCs/>
                <w:sz w:val="20"/>
                <w:szCs w:val="20"/>
              </w:rPr>
              <w:t xml:space="preserve"> </w:t>
            </w:r>
            <w:r w:rsidRPr="00445D1C">
              <w:rPr>
                <w:sz w:val="20"/>
                <w:szCs w:val="20"/>
              </w:rPr>
              <w:t>(każda prawidłowa odpowiedź to 1 punkt, brak odpowiedzi lub odpowiedź nieprawidłowa</w:t>
            </w:r>
            <w:r w:rsidRPr="00E339A0">
              <w:rPr>
                <w:sz w:val="20"/>
                <w:szCs w:val="20"/>
              </w:rPr>
              <w:t xml:space="preserve"> 0 punktów, minimum 60% prawidłowych odpowiedzi kwalifikuje do uzyskania pozytywnej oceny. </w:t>
            </w: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5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441D59" w:rsidRPr="00E339A0" w:rsidTr="00DB38ED">
              <w:tc>
                <w:tcPr>
                  <w:tcW w:w="127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441D59" w:rsidRPr="00E339A0" w:rsidTr="00DB38ED">
              <w:tc>
                <w:tcPr>
                  <w:tcW w:w="127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441D59" w:rsidRPr="00E339A0" w:rsidRDefault="00441D59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441D59" w:rsidRPr="00E339A0" w:rsidRDefault="00441D59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441D59" w:rsidRPr="00E339A0" w:rsidRDefault="00441D59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441D59" w:rsidRPr="00E339A0" w:rsidRDefault="00441D59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441D59" w:rsidRPr="00E339A0" w:rsidRDefault="00441D59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441D59" w:rsidRPr="00E339A0" w:rsidRDefault="00441D59" w:rsidP="00DB38ED">
            <w:pPr>
              <w:pStyle w:val="Bezodstpw"/>
            </w:pP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441D59" w:rsidRPr="00E339A0" w:rsidRDefault="00441D59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441D59" w:rsidRPr="00E339A0" w:rsidRDefault="00441D59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484263" w:rsidRPr="00E339A0" w:rsidTr="0048426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63" w:rsidRPr="00E339A0" w:rsidRDefault="00484263" w:rsidP="00DB38ED">
            <w:pPr>
              <w:spacing w:after="120"/>
              <w:rPr>
                <w:sz w:val="20"/>
                <w:szCs w:val="20"/>
              </w:rPr>
            </w:pPr>
            <w:bookmarkStart w:id="3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3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10658B"/>
    <w:rsid w:val="00236D50"/>
    <w:rsid w:val="00380077"/>
    <w:rsid w:val="003C6D88"/>
    <w:rsid w:val="00441D59"/>
    <w:rsid w:val="00484263"/>
    <w:rsid w:val="004F3BB3"/>
    <w:rsid w:val="00575FA4"/>
    <w:rsid w:val="00725AF7"/>
    <w:rsid w:val="007902A8"/>
    <w:rsid w:val="00793218"/>
    <w:rsid w:val="007C7BB7"/>
    <w:rsid w:val="009144AB"/>
    <w:rsid w:val="00A372A0"/>
    <w:rsid w:val="00AC3995"/>
    <w:rsid w:val="00AF606E"/>
    <w:rsid w:val="00C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2148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2021-01-04T10:54:00Z</dcterms:created>
  <dcterms:modified xsi:type="dcterms:W3CDTF">2022-10-14T09:01:00Z</dcterms:modified>
</cp:coreProperties>
</file>