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13"/>
        <w:gridCol w:w="1447"/>
        <w:gridCol w:w="949"/>
        <w:gridCol w:w="2894"/>
        <w:gridCol w:w="466"/>
        <w:gridCol w:w="830"/>
        <w:gridCol w:w="885"/>
        <w:gridCol w:w="1585"/>
      </w:tblGrid>
      <w:tr w:rsidR="00177935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06D1ABE" wp14:editId="24A7D8B8">
                  <wp:extent cx="1333500" cy="751205"/>
                  <wp:effectExtent l="0" t="0" r="0" b="0"/>
                  <wp:docPr id="22" name="Obraz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77935" w:rsidRPr="00E339A0" w:rsidRDefault="00177935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596A37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596A37">
              <w:rPr>
                <w:sz w:val="20"/>
                <w:szCs w:val="20"/>
              </w:rPr>
              <w:t>4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STATYSTYKA MEDYCZNA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I X     </w:t>
            </w:r>
            <w:r w:rsidRPr="00E339A0">
              <w:rPr>
                <w:color w:val="auto"/>
                <w:sz w:val="20"/>
                <w:szCs w:val="20"/>
              </w:rPr>
              <w:t>II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2□ 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  <w:r w:rsidRPr="00E339A0">
              <w:rPr>
                <w:color w:val="auto"/>
                <w:sz w:val="20"/>
                <w:szCs w:val="20"/>
              </w:rPr>
              <w:t>□    4□     5□     6□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77935" w:rsidRPr="0015118A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77935" w:rsidRPr="00E339A0" w:rsidRDefault="00177935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177935" w:rsidRPr="00E339A0" w:rsidRDefault="0017793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177935" w:rsidRPr="00E339A0" w:rsidRDefault="00177935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 X</w:t>
            </w:r>
          </w:p>
          <w:p w:rsidR="00177935" w:rsidRPr="00E339A0" w:rsidRDefault="0017793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C91346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77935" w:rsidRPr="00E339A0" w:rsidRDefault="00C33827" w:rsidP="00091694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62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24/86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17793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77935" w:rsidRPr="00E339A0" w:rsidRDefault="00177935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7935" w:rsidRDefault="0017793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prezentacja), 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ćwiczenia przy komputerze, z użyciem programu aktywizujące (metoda przypadków, metoda sytuacyjna, dyskusja dydaktyczna, metoda projektu).</w:t>
            </w:r>
          </w:p>
        </w:tc>
      </w:tr>
      <w:tr w:rsidR="0017793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Wyposażenie studenta w podstawową wiedzę o istocie celach i zadaniach statystyki w pielęgniarstwie. 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Przygotowanie do korzystania z metod statystycznych przy opracowywaniu wyników badań. 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>Zapoznanie studenta z zasadami wnioskowania statystycznego oraz przygotowanie do interpretacji wyników badań statystycznych.</w:t>
            </w:r>
          </w:p>
        </w:tc>
      </w:tr>
      <w:tr w:rsidR="0017793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177935" w:rsidRPr="00E339A0" w:rsidRDefault="00177935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7935" w:rsidRPr="00E339A0" w:rsidRDefault="00177935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plansze, komputer z oprogramowaniem statystycznym.</w:t>
            </w:r>
          </w:p>
        </w:tc>
      </w:tr>
      <w:tr w:rsidR="00177935" w:rsidRPr="00E339A0" w:rsidTr="00DB38ED">
        <w:trPr>
          <w:trHeight w:val="100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</w:p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7935" w:rsidRPr="00E339A0" w:rsidRDefault="00177935" w:rsidP="00177935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Podstawowe wiadomości z matematyki na poziomie szkoły średniej oraz technologii informacyjnych z zakresu studiów I stopnia.</w:t>
            </w:r>
          </w:p>
          <w:p w:rsidR="00177935" w:rsidRPr="00E339A0" w:rsidRDefault="00177935" w:rsidP="00177935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pracy przy komputerze i znajomość programów kalkulacyjnych uzyskanych podczas zajęć na poziome kształcenia szkół średnich.</w:t>
            </w:r>
          </w:p>
          <w:p w:rsidR="00177935" w:rsidRPr="00E339A0" w:rsidRDefault="00177935" w:rsidP="00177935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Sumienność, odpowiedzialność i nawyk samokształcenia.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77935" w:rsidRPr="00E339A0" w:rsidRDefault="00177935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77935" w:rsidRPr="00E339A0" w:rsidRDefault="0017793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i techniki badawcze stosowane w badaniach naukowych w pielęgniarstwie.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przygotowania baz danych do analiz statystycznych.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narzędzia informatyczne, testy statystyczne i zasady opracowywania wyników badań naukowych.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bazę danych do obliczeń statystycznych.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realizacja</w:t>
            </w:r>
            <w:r w:rsidRPr="00E339A0">
              <w:rPr>
                <w:i/>
                <w:iCs/>
                <w:sz w:val="20"/>
                <w:szCs w:val="20"/>
              </w:rPr>
              <w:br/>
              <w:t>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testy parametryczne i nieparametryczne dla zmiennych zależnych i niezależnych.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realizacja</w:t>
            </w:r>
            <w:r w:rsidRPr="00E339A0">
              <w:rPr>
                <w:i/>
                <w:iCs/>
                <w:sz w:val="20"/>
                <w:szCs w:val="20"/>
              </w:rPr>
              <w:br/>
              <w:t>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 pracy studenta, samoocena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77935" w:rsidRPr="00E339A0" w:rsidRDefault="00177935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77935" w:rsidRPr="00E339A0" w:rsidRDefault="0017793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77935" w:rsidRPr="00E339A0" w:rsidRDefault="0017793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7793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bazy danych do obliczeń statystycznych. Sposoby kodowanie różnych typów pytań. Przygotowanie danych do analizy.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C.W5; C.U4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Dobór próby do badań. Określenie liczebności próby.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C.W4; C.U4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Uzgodnienie statystycznych problemów badawczych, czyli m.in. sformułowanie hipotez badawczych i statystycznych.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C.W.3; C.U4; 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Statystyczne opracowanie danych pomiarowych. Rozkład normalny.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Graficzna prezentacja danych statystycznych.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Histogram. Analiza częstościowa serii danych pomiarowych wybranej próbki.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Rozkład normalny. Analiza jakościowa serii danych pomiarowych wybranej próbki.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Rozkład χ2 (rozkład chi kwadrat). Analiza ilościowa serii danych pomiarowych wybranej próbki.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Analiza testów diagnostycznych. Analiza danych statystycznych (Kwartet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Anscombe'a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Podstawy regresji oraz korelacji liniowej (wyznaczanie współczynnika korelacji liniowej oraz interpretacja wyników).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stopnia dopasowania (metoda najmniejszych kwadratów).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Formułowanie oraz testowanie wybranych hipotez statystycznych i interpretacja wyników.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lastRenderedPageBreak/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rPr>
          <w:trHeight w:val="60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NormalnyWeb"/>
              <w:spacing w:before="0" w:beforeAutospacing="0" w:after="0" w:afterAutospacing="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Student pogłębia i uzupełnia wiedzę i umiejętności w zakresie tematyki przewidzianej w wykładach i ćwiczeniach.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C.W4; C.W5;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C.W4; C.U4; K.2</w:t>
            </w:r>
          </w:p>
        </w:tc>
      </w:tr>
      <w:tr w:rsidR="00177935" w:rsidRPr="00E339A0" w:rsidTr="00DB38ED">
        <w:trPr>
          <w:trHeight w:val="60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NormalnyWeb"/>
              <w:spacing w:before="0" w:beforeAutospacing="0" w:after="0" w:afterAutospacing="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Opracowywanie danych.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C.U4; C.U5; K.2</w:t>
            </w:r>
          </w:p>
        </w:tc>
      </w:tr>
      <w:tr w:rsidR="00177935" w:rsidRPr="00E339A0" w:rsidTr="00DB38ED">
        <w:trPr>
          <w:trHeight w:val="60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NormalnyWeb"/>
              <w:spacing w:before="0" w:beforeAutospacing="0" w:after="0" w:afterAutospacing="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Planowanie badania. Próbkowanie i estymacja na podstawie wiedzy zdobytej na ćwiczeniach.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C.U4; C.U5; K.2</w:t>
            </w:r>
          </w:p>
        </w:tc>
      </w:tr>
      <w:tr w:rsidR="00177935" w:rsidRPr="00E339A0" w:rsidTr="00DB38ED">
        <w:trPr>
          <w:trHeight w:val="60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NormalnyWeb"/>
              <w:spacing w:before="0" w:beforeAutospacing="0" w:after="0" w:afterAutospacing="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Etapy opracowania danych statystycznych do prac naukowych: zapoznanie się ze zbiorem danych.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C.W4; C.U5; K.2</w:t>
            </w:r>
          </w:p>
        </w:tc>
      </w:tr>
      <w:tr w:rsidR="0017793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77935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Roterman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339A0">
              <w:rPr>
                <w:sz w:val="20"/>
                <w:szCs w:val="20"/>
              </w:rPr>
              <w:t xml:space="preserve">Konieczna I., </w:t>
            </w:r>
            <w:r w:rsidRPr="00E339A0">
              <w:rPr>
                <w:i/>
                <w:sz w:val="20"/>
                <w:szCs w:val="20"/>
              </w:rPr>
              <w:t>Statystyka na receptę. Wprowadzenie do statystyki medycznej</w:t>
            </w:r>
            <w:r w:rsidRPr="00E339A0">
              <w:rPr>
                <w:sz w:val="20"/>
                <w:szCs w:val="20"/>
              </w:rPr>
              <w:t>, U</w:t>
            </w:r>
            <w:r>
              <w:rPr>
                <w:sz w:val="20"/>
                <w:szCs w:val="20"/>
              </w:rPr>
              <w:t xml:space="preserve">niwersytet </w:t>
            </w:r>
            <w:r w:rsidRPr="00E339A0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agielloński</w:t>
            </w:r>
            <w:r w:rsidR="0015118A">
              <w:rPr>
                <w:sz w:val="20"/>
                <w:szCs w:val="20"/>
              </w:rPr>
              <w:t>, Kraków 2011</w:t>
            </w:r>
            <w:r w:rsidRPr="00E339A0">
              <w:rPr>
                <w:sz w:val="20"/>
                <w:szCs w:val="20"/>
              </w:rPr>
              <w:t>.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Stanisz A., </w:t>
            </w:r>
            <w:r w:rsidRPr="00EC324E">
              <w:rPr>
                <w:i/>
                <w:sz w:val="20"/>
                <w:szCs w:val="20"/>
              </w:rPr>
              <w:t>Przystępny kurs statystyki z zastosowaniem STATISTICA PL na przykładach z medycyny</w:t>
            </w:r>
            <w:r>
              <w:rPr>
                <w:sz w:val="20"/>
                <w:szCs w:val="20"/>
              </w:rPr>
              <w:t>, t.</w:t>
            </w:r>
            <w:r w:rsidRPr="00E339A0">
              <w:rPr>
                <w:sz w:val="20"/>
                <w:szCs w:val="20"/>
              </w:rPr>
              <w:t xml:space="preserve"> I-III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Stat </w:t>
            </w:r>
            <w:proofErr w:type="spellStart"/>
            <w:r w:rsidRPr="00E339A0">
              <w:rPr>
                <w:sz w:val="20"/>
                <w:szCs w:val="20"/>
              </w:rPr>
              <w:t>Soft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Kraków 2006.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Rabiej</w:t>
            </w:r>
            <w:proofErr w:type="spellEnd"/>
            <w:r w:rsidRPr="00E339A0">
              <w:rPr>
                <w:sz w:val="20"/>
                <w:szCs w:val="20"/>
              </w:rPr>
              <w:t xml:space="preserve"> M., </w:t>
            </w:r>
            <w:r w:rsidRPr="00E339A0">
              <w:rPr>
                <w:i/>
                <w:iCs/>
                <w:sz w:val="20"/>
                <w:szCs w:val="20"/>
              </w:rPr>
              <w:t xml:space="preserve">Statystyka z programem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Statistica</w:t>
            </w:r>
            <w:proofErr w:type="spellEnd"/>
            <w:r>
              <w:rPr>
                <w:sz w:val="20"/>
                <w:szCs w:val="20"/>
              </w:rPr>
              <w:t xml:space="preserve">, Helion, </w:t>
            </w:r>
            <w:r w:rsidRPr="00E339A0">
              <w:rPr>
                <w:sz w:val="20"/>
                <w:szCs w:val="20"/>
              </w:rPr>
              <w:t>Gliwice 2012.</w:t>
            </w:r>
          </w:p>
          <w:p w:rsidR="00177935" w:rsidRPr="00E339A0" w:rsidRDefault="0017793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177935" w:rsidRPr="00E339A0" w:rsidRDefault="0017793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Łomnicki A., </w:t>
            </w:r>
            <w:r>
              <w:rPr>
                <w:i/>
                <w:iCs/>
                <w:sz w:val="20"/>
                <w:szCs w:val="20"/>
              </w:rPr>
              <w:t xml:space="preserve">Wprowadzenie do statystyki, </w:t>
            </w:r>
            <w:r w:rsidRPr="00E339A0">
              <w:rPr>
                <w:sz w:val="20"/>
                <w:szCs w:val="20"/>
              </w:rPr>
              <w:t>PWN</w:t>
            </w:r>
            <w:r>
              <w:rPr>
                <w:sz w:val="20"/>
                <w:szCs w:val="20"/>
              </w:rPr>
              <w:t>,</w:t>
            </w:r>
            <w:r w:rsidR="0015118A">
              <w:rPr>
                <w:sz w:val="20"/>
                <w:szCs w:val="20"/>
              </w:rPr>
              <w:t xml:space="preserve"> Warszawa 2022</w:t>
            </w:r>
            <w:r>
              <w:rPr>
                <w:sz w:val="20"/>
                <w:szCs w:val="20"/>
              </w:rPr>
              <w:t>.</w:t>
            </w:r>
          </w:p>
          <w:p w:rsidR="00177935" w:rsidRDefault="00177935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Petrie</w:t>
            </w:r>
            <w:proofErr w:type="spellEnd"/>
            <w:r>
              <w:rPr>
                <w:sz w:val="20"/>
                <w:szCs w:val="20"/>
              </w:rPr>
              <w:t xml:space="preserve"> A., Sabin C., </w:t>
            </w:r>
            <w:r w:rsidRPr="00E339A0">
              <w:rPr>
                <w:i/>
                <w:iCs/>
                <w:sz w:val="20"/>
                <w:szCs w:val="20"/>
              </w:rPr>
              <w:t>Statystyka medyczna w zarysie</w:t>
            </w:r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>PZWL, Warszawa 2006.</w:t>
            </w:r>
          </w:p>
          <w:p w:rsidR="00177935" w:rsidRPr="00EC324E" w:rsidRDefault="00177935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Stanisz A., </w:t>
            </w:r>
            <w:r w:rsidRPr="00E339A0">
              <w:rPr>
                <w:i/>
                <w:color w:val="auto"/>
                <w:sz w:val="20"/>
                <w:szCs w:val="20"/>
              </w:rPr>
              <w:t>Biostatystyka</w:t>
            </w:r>
            <w:r w:rsidRPr="00E339A0">
              <w:rPr>
                <w:color w:val="auto"/>
                <w:sz w:val="20"/>
                <w:szCs w:val="20"/>
              </w:rPr>
              <w:t>, U</w:t>
            </w:r>
            <w:r>
              <w:rPr>
                <w:color w:val="auto"/>
                <w:sz w:val="20"/>
                <w:szCs w:val="20"/>
              </w:rPr>
              <w:t xml:space="preserve">niwersytet </w:t>
            </w:r>
            <w:r w:rsidRPr="00E339A0">
              <w:rPr>
                <w:color w:val="auto"/>
                <w:sz w:val="20"/>
                <w:szCs w:val="20"/>
              </w:rPr>
              <w:t>J</w:t>
            </w:r>
            <w:r>
              <w:rPr>
                <w:color w:val="auto"/>
                <w:sz w:val="20"/>
                <w:szCs w:val="20"/>
              </w:rPr>
              <w:t>agielloński</w:t>
            </w:r>
            <w:r w:rsidRPr="00E339A0">
              <w:rPr>
                <w:color w:val="auto"/>
                <w:sz w:val="20"/>
                <w:szCs w:val="20"/>
              </w:rPr>
              <w:t>, Kraków 2005.</w:t>
            </w:r>
          </w:p>
        </w:tc>
      </w:tr>
      <w:tr w:rsidR="00177935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77935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177935" w:rsidRPr="00E339A0" w:rsidRDefault="00177935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 xml:space="preserve">– konwersatoria </w:t>
            </w:r>
          </w:p>
          <w:p w:rsidR="00177935" w:rsidRPr="00E339A0" w:rsidRDefault="00177935" w:rsidP="00DB38ED">
            <w:pPr>
              <w:rPr>
                <w:b/>
                <w:bCs/>
                <w:sz w:val="20"/>
                <w:szCs w:val="20"/>
              </w:rPr>
            </w:pPr>
          </w:p>
          <w:p w:rsidR="00177935" w:rsidRPr="00E339A0" w:rsidRDefault="00177935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77935" w:rsidRPr="00E339A0" w:rsidRDefault="00177935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177935" w:rsidRPr="00E339A0" w:rsidRDefault="0017793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177935" w:rsidRPr="00E339A0" w:rsidRDefault="00177935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77935" w:rsidRPr="00E339A0" w:rsidRDefault="00177935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zagadnieniami</w:t>
            </w:r>
            <w:r>
              <w:rPr>
                <w:sz w:val="20"/>
                <w:szCs w:val="20"/>
              </w:rPr>
              <w:t xml:space="preserve"> prowadzonymi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177935" w:rsidRPr="00E339A0" w:rsidRDefault="00177935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poprawne, ocenione pozytywnie kolokwium </w:t>
            </w:r>
            <w:r>
              <w:rPr>
                <w:sz w:val="20"/>
                <w:szCs w:val="20"/>
              </w:rPr>
              <w:t xml:space="preserve">– </w:t>
            </w:r>
            <w:r w:rsidRPr="00E339A0">
              <w:rPr>
                <w:sz w:val="20"/>
                <w:szCs w:val="20"/>
              </w:rPr>
              <w:t>opracuje statystycznie wybrany zakre</w:t>
            </w:r>
            <w:r>
              <w:rPr>
                <w:sz w:val="20"/>
                <w:szCs w:val="20"/>
              </w:rPr>
              <w:t>s danych i zinterpretuje wyniki.</w:t>
            </w:r>
          </w:p>
          <w:p w:rsidR="00177935" w:rsidRPr="00E339A0" w:rsidRDefault="00177935" w:rsidP="00DB38ED">
            <w:pPr>
              <w:rPr>
                <w:sz w:val="20"/>
                <w:szCs w:val="20"/>
              </w:rPr>
            </w:pPr>
          </w:p>
          <w:p w:rsidR="00177935" w:rsidRPr="00E339A0" w:rsidRDefault="00177935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oceny wykonanego zadania - kolokwium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jc w:val="both"/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Poprawna, pełna, samodzielna realizacja zleconego przez nauczyciela zadania - opracowanie statystyczne wybrany zakres danych z interpretacją wyników </w:t>
                  </w:r>
                </w:p>
              </w:tc>
            </w:tr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realizacja zleconego zadania - opracowanie statystyczne wybrany zakres danych z interpretacją wyników</w:t>
                  </w:r>
                </w:p>
              </w:tc>
            </w:tr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realizacja zleconego zadania - opracowanie statystyczne wybrany zakres danych z interpretacją wyników</w:t>
                  </w:r>
                </w:p>
              </w:tc>
            </w:tr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realizacji zleconego przez nauczyciela zadania – brak opracowania statystycznego wybranego zakresu danych i brak interpretacji wyników</w:t>
                  </w:r>
                </w:p>
              </w:tc>
            </w:tr>
          </w:tbl>
          <w:p w:rsidR="00177935" w:rsidRPr="00E339A0" w:rsidRDefault="00177935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177935" w:rsidRPr="00E339A0" w:rsidRDefault="00177935" w:rsidP="00DB38ED">
            <w:pPr>
              <w:pStyle w:val="Bezodstpw"/>
            </w:pPr>
            <w:r w:rsidRPr="00E339A0">
              <w:t>Warunkiem zaliczenia na ocenę przedmiotu jest:</w:t>
            </w:r>
          </w:p>
          <w:p w:rsidR="00177935" w:rsidRPr="00E339A0" w:rsidRDefault="00177935" w:rsidP="00177935">
            <w:pPr>
              <w:pStyle w:val="Bezodstpw"/>
              <w:numPr>
                <w:ilvl w:val="0"/>
                <w:numId w:val="22"/>
              </w:numPr>
            </w:pPr>
            <w:r>
              <w:t>pozytywne zaliczenie kolokwium.</w:t>
            </w:r>
          </w:p>
          <w:p w:rsidR="00177935" w:rsidRPr="00E339A0" w:rsidRDefault="00177935" w:rsidP="00DB38ED">
            <w:pPr>
              <w:pStyle w:val="Bezodstpw"/>
            </w:pPr>
          </w:p>
          <w:p w:rsidR="00177935" w:rsidRPr="00E339A0" w:rsidRDefault="0017793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177935" w:rsidRPr="00E339A0" w:rsidRDefault="0017793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77935" w:rsidRPr="00E339A0" w:rsidRDefault="0017793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C33827" w:rsidRPr="00E339A0" w:rsidTr="00C33827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827" w:rsidRPr="00E339A0" w:rsidRDefault="00C33827" w:rsidP="00DB38ED">
            <w:pPr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8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1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8"/>
  </w:num>
  <w:num w:numId="5">
    <w:abstractNumId w:val="4"/>
  </w:num>
  <w:num w:numId="6">
    <w:abstractNumId w:val="8"/>
  </w:num>
  <w:num w:numId="7">
    <w:abstractNumId w:val="5"/>
  </w:num>
  <w:num w:numId="8">
    <w:abstractNumId w:val="20"/>
  </w:num>
  <w:num w:numId="9">
    <w:abstractNumId w:val="17"/>
  </w:num>
  <w:num w:numId="10">
    <w:abstractNumId w:val="19"/>
  </w:num>
  <w:num w:numId="11">
    <w:abstractNumId w:val="2"/>
  </w:num>
  <w:num w:numId="12">
    <w:abstractNumId w:val="12"/>
  </w:num>
  <w:num w:numId="13">
    <w:abstractNumId w:val="15"/>
  </w:num>
  <w:num w:numId="14">
    <w:abstractNumId w:val="14"/>
  </w:num>
  <w:num w:numId="15">
    <w:abstractNumId w:val="21"/>
  </w:num>
  <w:num w:numId="16">
    <w:abstractNumId w:val="13"/>
  </w:num>
  <w:num w:numId="17">
    <w:abstractNumId w:val="16"/>
  </w:num>
  <w:num w:numId="18">
    <w:abstractNumId w:val="1"/>
  </w:num>
  <w:num w:numId="19">
    <w:abstractNumId w:val="0"/>
  </w:num>
  <w:num w:numId="20">
    <w:abstractNumId w:val="7"/>
  </w:num>
  <w:num w:numId="21">
    <w:abstractNumId w:val="22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91694"/>
    <w:rsid w:val="001147E6"/>
    <w:rsid w:val="0015118A"/>
    <w:rsid w:val="00177935"/>
    <w:rsid w:val="001E499E"/>
    <w:rsid w:val="003152AB"/>
    <w:rsid w:val="00380077"/>
    <w:rsid w:val="00596A37"/>
    <w:rsid w:val="007B47A2"/>
    <w:rsid w:val="00A953A7"/>
    <w:rsid w:val="00C33827"/>
    <w:rsid w:val="00C91346"/>
    <w:rsid w:val="00D003E8"/>
    <w:rsid w:val="00D62145"/>
    <w:rsid w:val="00E31006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1326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10</cp:revision>
  <dcterms:created xsi:type="dcterms:W3CDTF">2021-01-04T12:31:00Z</dcterms:created>
  <dcterms:modified xsi:type="dcterms:W3CDTF">2022-10-14T09:21:00Z</dcterms:modified>
</cp:coreProperties>
</file>